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C44" w:rsidRDefault="00BE6C44" w:rsidP="00BE6C44">
      <w:pPr>
        <w:spacing w:line="360" w:lineRule="auto"/>
        <w:jc w:val="center"/>
        <w:rPr>
          <w:rFonts w:ascii="微软雅黑" w:eastAsia="微软雅黑" w:hAnsi="微软雅黑" w:cs="微软雅黑"/>
          <w:b/>
          <w:color w:val="000000"/>
          <w:sz w:val="28"/>
          <w:szCs w:val="28"/>
        </w:rPr>
      </w:pPr>
      <w:r w:rsidRPr="00BE6C44">
        <w:rPr>
          <w:rFonts w:ascii="微软雅黑" w:eastAsia="微软雅黑" w:hAnsi="微软雅黑" w:cs="微软雅黑" w:hint="eastAsia"/>
          <w:b/>
          <w:color w:val="000000"/>
          <w:sz w:val="28"/>
          <w:szCs w:val="28"/>
        </w:rPr>
        <w:t>铜陵学院会计学院CMA、CPA教育中心招生简章</w:t>
      </w:r>
    </w:p>
    <w:p w:rsidR="00681864" w:rsidRPr="00681864" w:rsidRDefault="00681864">
      <w:pPr>
        <w:spacing w:line="360" w:lineRule="auto"/>
        <w:rPr>
          <w:rFonts w:ascii="微软雅黑" w:eastAsia="微软雅黑" w:hAnsi="微软雅黑" w:cs="微软雅黑"/>
          <w:b/>
          <w:color w:val="000000"/>
        </w:rPr>
      </w:pPr>
      <w:r w:rsidRPr="00681864">
        <w:rPr>
          <w:rFonts w:ascii="微软雅黑" w:eastAsia="微软雅黑" w:hAnsi="微软雅黑" w:cs="微软雅黑" w:hint="eastAsia"/>
          <w:b/>
          <w:color w:val="000000"/>
        </w:rPr>
        <w:t>公司</w:t>
      </w:r>
      <w:r w:rsidRPr="00681864">
        <w:rPr>
          <w:rFonts w:ascii="微软雅黑" w:eastAsia="微软雅黑" w:hAnsi="微软雅黑" w:cs="微软雅黑"/>
          <w:b/>
          <w:color w:val="000000"/>
        </w:rPr>
        <w:t>介绍：</w:t>
      </w:r>
    </w:p>
    <w:p w:rsidR="0054548D" w:rsidRDefault="00681864">
      <w:pPr>
        <w:spacing w:line="360" w:lineRule="auto"/>
        <w:ind w:firstLineChars="200" w:firstLine="420"/>
        <w:rPr>
          <w:rFonts w:ascii="微软雅黑" w:eastAsia="微软雅黑" w:hAnsi="微软雅黑" w:cs="微软雅黑"/>
          <w:color w:val="000000"/>
        </w:rPr>
      </w:pPr>
      <w:r>
        <w:rPr>
          <w:rFonts w:ascii="微软雅黑" w:eastAsia="微软雅黑" w:hAnsi="微软雅黑" w:cs="微软雅黑" w:hint="eastAsia"/>
          <w:color w:val="000000"/>
        </w:rPr>
        <w:t>江苏财</w:t>
      </w:r>
      <w:proofErr w:type="gramStart"/>
      <w:r>
        <w:rPr>
          <w:rFonts w:ascii="微软雅黑" w:eastAsia="微软雅黑" w:hAnsi="微软雅黑" w:cs="微软雅黑" w:hint="eastAsia"/>
          <w:color w:val="000000"/>
        </w:rPr>
        <w:t>鑫</w:t>
      </w:r>
      <w:proofErr w:type="gramEnd"/>
      <w:r>
        <w:rPr>
          <w:rFonts w:ascii="微软雅黑" w:eastAsia="微软雅黑" w:hAnsi="微软雅黑" w:cs="微软雅黑" w:hint="eastAsia"/>
          <w:color w:val="000000"/>
        </w:rPr>
        <w:t>教育培训中心（以下简称财</w:t>
      </w:r>
      <w:proofErr w:type="gramStart"/>
      <w:r>
        <w:rPr>
          <w:rFonts w:ascii="微软雅黑" w:eastAsia="微软雅黑" w:hAnsi="微软雅黑" w:cs="微软雅黑" w:hint="eastAsia"/>
          <w:color w:val="000000"/>
        </w:rPr>
        <w:t>鑫</w:t>
      </w:r>
      <w:proofErr w:type="gramEnd"/>
      <w:r>
        <w:rPr>
          <w:rFonts w:ascii="微软雅黑" w:eastAsia="微软雅黑" w:hAnsi="微软雅黑" w:cs="微软雅黑" w:hint="eastAsia"/>
          <w:color w:val="000000"/>
        </w:rPr>
        <w:t>教育）成立于2006年，历经十余年风雨，以傲然的姿态屹立于中国经济教育强省——江苏省。财</w:t>
      </w:r>
      <w:proofErr w:type="gramStart"/>
      <w:r>
        <w:rPr>
          <w:rFonts w:ascii="微软雅黑" w:eastAsia="微软雅黑" w:hAnsi="微软雅黑" w:cs="微软雅黑" w:hint="eastAsia"/>
          <w:color w:val="000000"/>
        </w:rPr>
        <w:t>鑫</w:t>
      </w:r>
      <w:proofErr w:type="gramEnd"/>
      <w:r>
        <w:rPr>
          <w:rFonts w:ascii="微软雅黑" w:eastAsia="微软雅黑" w:hAnsi="微软雅黑" w:cs="微软雅黑" w:hint="eastAsia"/>
          <w:color w:val="000000"/>
        </w:rPr>
        <w:t>教育以“赋予学员国际视野与职业竞争力”为己任，以卓越的研发、强大的师资和专业的服务联合国内百所大学开展CPA、CMA、ACCA、CFA、FRM、税务师、初、中级会计职称等国际国内财经认证，为财经人提供高品质的财经教育。</w:t>
      </w:r>
    </w:p>
    <w:p w:rsidR="0054548D" w:rsidRDefault="00681864">
      <w:pPr>
        <w:spacing w:line="360" w:lineRule="auto"/>
        <w:rPr>
          <w:rFonts w:ascii="微软雅黑" w:eastAsia="微软雅黑" w:hAnsi="微软雅黑" w:cs="微软雅黑"/>
          <w:color w:val="000000"/>
        </w:rPr>
      </w:pPr>
      <w:r>
        <w:rPr>
          <w:noProof/>
        </w:rPr>
        <w:drawing>
          <wp:inline distT="0" distB="0" distL="0" distR="0">
            <wp:extent cx="5274310" cy="2397125"/>
            <wp:effectExtent l="0" t="0" r="2540" b="3175"/>
            <wp:docPr id="1026" name="图片 7"/>
            <wp:cNvGraphicFramePr/>
            <a:graphic xmlns:a="http://schemas.openxmlformats.org/drawingml/2006/main">
              <a:graphicData uri="http://schemas.openxmlformats.org/drawingml/2006/picture">
                <pic:pic xmlns:pic="http://schemas.openxmlformats.org/drawingml/2006/picture">
                  <pic:nvPicPr>
                    <pic:cNvPr id="1026" name="图片 7"/>
                    <pic:cNvPicPr/>
                  </pic:nvPicPr>
                  <pic:blipFill>
                    <a:blip r:embed="rId5" cstate="print"/>
                    <a:srcRect/>
                    <a:stretch>
                      <a:fillRect/>
                    </a:stretch>
                  </pic:blipFill>
                  <pic:spPr>
                    <a:xfrm>
                      <a:off x="0" y="0"/>
                      <a:ext cx="5274310" cy="2397125"/>
                    </a:xfrm>
                    <a:prstGeom prst="rect">
                      <a:avLst/>
                    </a:prstGeom>
                    <a:ln>
                      <a:noFill/>
                    </a:ln>
                  </pic:spPr>
                </pic:pic>
              </a:graphicData>
            </a:graphic>
          </wp:inline>
        </w:drawing>
      </w:r>
      <w:bookmarkStart w:id="0" w:name="_GoBack"/>
      <w:bookmarkEnd w:id="0"/>
    </w:p>
    <w:p w:rsidR="0054548D" w:rsidRDefault="00681864">
      <w:pPr>
        <w:spacing w:line="360" w:lineRule="auto"/>
        <w:ind w:firstLineChars="200" w:firstLine="420"/>
        <w:rPr>
          <w:rFonts w:ascii="微软雅黑" w:eastAsia="微软雅黑" w:hAnsi="微软雅黑" w:cs="微软雅黑"/>
          <w:color w:val="000000"/>
        </w:rPr>
      </w:pPr>
      <w:r>
        <w:rPr>
          <w:rFonts w:ascii="微软雅黑" w:eastAsia="微软雅黑" w:hAnsi="微软雅黑" w:cs="微软雅黑" w:hint="eastAsia"/>
          <w:color w:val="000000"/>
        </w:rPr>
        <w:t>财</w:t>
      </w:r>
      <w:proofErr w:type="gramStart"/>
      <w:r>
        <w:rPr>
          <w:rFonts w:ascii="微软雅黑" w:eastAsia="微软雅黑" w:hAnsi="微软雅黑" w:cs="微软雅黑" w:hint="eastAsia"/>
          <w:color w:val="000000"/>
        </w:rPr>
        <w:t>鑫</w:t>
      </w:r>
      <w:proofErr w:type="gramEnd"/>
      <w:r>
        <w:rPr>
          <w:rFonts w:ascii="微软雅黑" w:eastAsia="微软雅黑" w:hAnsi="微软雅黑" w:cs="微软雅黑" w:hint="eastAsia"/>
          <w:color w:val="000000"/>
        </w:rPr>
        <w:t>教育也是众多权威财经组织在中国的重要合作伙伴之一：美国IMA（管理会计师协会）官方授权CMA培训机构；IMA中国教育指导委员会高校CMA项目联合发展执行机构；美国GARP（风险管理协会）授权FRM培训机构；美国AIMR （投资管理与研究协会）授权CFA培训机构；英国AIA（国际会计师公会）授权培训机构；英国ACCA（特许公认会计师公会）考点机构；CIMA（特许管理会计师公会）授权培训机构。</w:t>
      </w:r>
    </w:p>
    <w:p w:rsidR="0054548D" w:rsidRDefault="00681864">
      <w:pPr>
        <w:spacing w:line="360" w:lineRule="auto"/>
        <w:rPr>
          <w:rFonts w:ascii="微软雅黑" w:eastAsia="微软雅黑" w:hAnsi="微软雅黑" w:cs="微软雅黑"/>
          <w:color w:val="000000"/>
        </w:rPr>
      </w:pPr>
      <w:r>
        <w:rPr>
          <w:rFonts w:ascii="微软雅黑" w:eastAsia="微软雅黑" w:hAnsi="微软雅黑" w:cs="微软雅黑" w:hint="eastAsia"/>
          <w:noProof/>
          <w:color w:val="000000"/>
        </w:rPr>
        <w:drawing>
          <wp:inline distT="0" distB="0" distL="0" distR="0">
            <wp:extent cx="5260340" cy="1013460"/>
            <wp:effectExtent l="0" t="0" r="16510" b="14605"/>
            <wp:docPr id="1027" name="图片 1" descr="1"/>
            <wp:cNvGraphicFramePr/>
            <a:graphic xmlns:a="http://schemas.openxmlformats.org/drawingml/2006/main">
              <a:graphicData uri="http://schemas.openxmlformats.org/drawingml/2006/picture">
                <pic:pic xmlns:pic="http://schemas.openxmlformats.org/drawingml/2006/picture">
                  <pic:nvPicPr>
                    <pic:cNvPr id="1027" name="图片 1" descr="1"/>
                    <pic:cNvPicPr/>
                  </pic:nvPicPr>
                  <pic:blipFill>
                    <a:blip r:embed="rId6" cstate="print"/>
                    <a:srcRect/>
                    <a:stretch>
                      <a:fillRect/>
                    </a:stretch>
                  </pic:blipFill>
                  <pic:spPr>
                    <a:xfrm>
                      <a:off x="0" y="0"/>
                      <a:ext cx="5260340" cy="1014094"/>
                    </a:xfrm>
                    <a:prstGeom prst="rect">
                      <a:avLst/>
                    </a:prstGeom>
                  </pic:spPr>
                </pic:pic>
              </a:graphicData>
            </a:graphic>
          </wp:inline>
        </w:drawing>
      </w:r>
    </w:p>
    <w:p w:rsidR="0054548D" w:rsidRDefault="00681864">
      <w:pPr>
        <w:spacing w:line="360" w:lineRule="auto"/>
        <w:ind w:firstLineChars="200" w:firstLine="420"/>
        <w:rPr>
          <w:rFonts w:ascii="微软雅黑" w:eastAsia="微软雅黑" w:hAnsi="微软雅黑" w:cs="微软雅黑"/>
          <w:color w:val="000000"/>
        </w:rPr>
      </w:pPr>
      <w:r>
        <w:rPr>
          <w:rFonts w:ascii="微软雅黑" w:eastAsia="微软雅黑" w:hAnsi="微软雅黑" w:cs="微软雅黑" w:hint="eastAsia"/>
          <w:color w:val="000000"/>
        </w:rPr>
        <w:t>财</w:t>
      </w:r>
      <w:proofErr w:type="gramStart"/>
      <w:r>
        <w:rPr>
          <w:rFonts w:ascii="微软雅黑" w:eastAsia="微软雅黑" w:hAnsi="微软雅黑" w:cs="微软雅黑" w:hint="eastAsia"/>
          <w:color w:val="000000"/>
        </w:rPr>
        <w:t>鑫</w:t>
      </w:r>
      <w:proofErr w:type="gramEnd"/>
      <w:r>
        <w:rPr>
          <w:rFonts w:ascii="微软雅黑" w:eastAsia="微软雅黑" w:hAnsi="微软雅黑" w:cs="微软雅黑" w:hint="eastAsia"/>
          <w:color w:val="000000"/>
        </w:rPr>
        <w:t>教育始终不忘初心，坚持学员第一，为学员创造价值。通过旗下财</w:t>
      </w:r>
      <w:proofErr w:type="gramStart"/>
      <w:r>
        <w:rPr>
          <w:rFonts w:ascii="微软雅黑" w:eastAsia="微软雅黑" w:hAnsi="微软雅黑" w:cs="微软雅黑" w:hint="eastAsia"/>
          <w:color w:val="000000"/>
        </w:rPr>
        <w:t>鑫</w:t>
      </w:r>
      <w:proofErr w:type="gramEnd"/>
      <w:r>
        <w:rPr>
          <w:rFonts w:ascii="微软雅黑" w:eastAsia="微软雅黑" w:hAnsi="微软雅黑" w:cs="微软雅黑" w:hint="eastAsia"/>
          <w:color w:val="000000"/>
        </w:rPr>
        <w:t>教育、财</w:t>
      </w:r>
      <w:proofErr w:type="gramStart"/>
      <w:r>
        <w:rPr>
          <w:rFonts w:ascii="微软雅黑" w:eastAsia="微软雅黑" w:hAnsi="微软雅黑" w:cs="微软雅黑" w:hint="eastAsia"/>
          <w:color w:val="000000"/>
        </w:rPr>
        <w:t>鑫</w:t>
      </w:r>
      <w:proofErr w:type="gramEnd"/>
      <w:r>
        <w:rPr>
          <w:rFonts w:ascii="微软雅黑" w:eastAsia="微软雅黑" w:hAnsi="微软雅黑" w:cs="微软雅黑" w:hint="eastAsia"/>
          <w:color w:val="000000"/>
        </w:rPr>
        <w:t>网</w:t>
      </w:r>
      <w:r>
        <w:rPr>
          <w:rFonts w:ascii="微软雅黑" w:eastAsia="微软雅黑" w:hAnsi="微软雅黑" w:cs="微软雅黑" w:hint="eastAsia"/>
          <w:color w:val="000000"/>
        </w:rPr>
        <w:lastRenderedPageBreak/>
        <w:t>校、财</w:t>
      </w:r>
      <w:proofErr w:type="gramStart"/>
      <w:r>
        <w:rPr>
          <w:rFonts w:ascii="微软雅黑" w:eastAsia="微软雅黑" w:hAnsi="微软雅黑" w:cs="微软雅黑" w:hint="eastAsia"/>
          <w:color w:val="000000"/>
        </w:rPr>
        <w:t>鑫商苑</w:t>
      </w:r>
      <w:proofErr w:type="gramEnd"/>
      <w:r>
        <w:rPr>
          <w:rFonts w:ascii="微软雅黑" w:eastAsia="微软雅黑" w:hAnsi="微软雅黑" w:cs="微软雅黑" w:hint="eastAsia"/>
          <w:color w:val="000000"/>
        </w:rPr>
        <w:t xml:space="preserve">等平台，不仅为财经人才提供专业的财经培训，还提供实习、游学、就业、再教育和高端财经人脉拓展等机会，打造终身学习、持续学习的财经生态圈，支持财经人职业生涯的持续发展。 </w:t>
      </w:r>
    </w:p>
    <w:p w:rsidR="0054548D" w:rsidRPr="00681864" w:rsidRDefault="00681864">
      <w:pPr>
        <w:spacing w:line="360" w:lineRule="auto"/>
        <w:rPr>
          <w:rFonts w:ascii="微软雅黑" w:eastAsia="微软雅黑" w:hAnsi="微软雅黑" w:cs="微软雅黑"/>
          <w:b/>
          <w:color w:val="000000"/>
        </w:rPr>
      </w:pPr>
      <w:r w:rsidRPr="00681864">
        <w:rPr>
          <w:rFonts w:ascii="微软雅黑" w:eastAsia="微软雅黑" w:hAnsi="微软雅黑" w:cs="微软雅黑" w:hint="eastAsia"/>
          <w:b/>
          <w:color w:val="000000"/>
        </w:rPr>
        <w:t>CMA介绍</w:t>
      </w:r>
    </w:p>
    <w:p w:rsidR="0054548D" w:rsidRDefault="00681864">
      <w:pPr>
        <w:pStyle w:val="a3"/>
        <w:widowControl/>
        <w:spacing w:beforeAutospacing="0" w:after="240" w:afterAutospacing="0"/>
        <w:ind w:firstLineChars="200" w:firstLine="420"/>
        <w:jc w:val="both"/>
        <w:rPr>
          <w:rFonts w:ascii="微软雅黑" w:eastAsia="微软雅黑" w:hAnsi="微软雅黑" w:cs="微软雅黑"/>
          <w:color w:val="000000"/>
          <w:sz w:val="21"/>
          <w:szCs w:val="21"/>
          <w:shd w:val="clear" w:color="auto" w:fill="FFFFFF"/>
        </w:rPr>
      </w:pPr>
      <w:r>
        <w:rPr>
          <w:rFonts w:ascii="微软雅黑" w:eastAsia="微软雅黑" w:hAnsi="微软雅黑" w:cs="微软雅黑" w:hint="eastAsia"/>
          <w:color w:val="000000"/>
          <w:sz w:val="21"/>
          <w:szCs w:val="21"/>
          <w:shd w:val="clear" w:color="auto" w:fill="FFFFFF"/>
        </w:rPr>
        <w:t>CMA是美国管理会计师（Certified Management Accountant）的简称。由全球管理会计组织——美国管理会计师协会（IMA）于 1972 年推出的专业认证制度。作为对会计和财务专业人士的权威鉴定，CMA 与美国注册会计师（USCPA）、金融特许分析师（CFA）一起并称为美国财会领域的国际三大黄金认证，在全球范围内被企业财务高管所广泛认可。CMA认证坚持用最实用的知识体系培养管理会计精英，用最严格的测评标准保证认证的权威性，是全球财务的黄金标准。</w:t>
      </w:r>
    </w:p>
    <w:p w:rsidR="0054548D" w:rsidRDefault="00681864">
      <w:pPr>
        <w:pStyle w:val="a3"/>
        <w:widowControl/>
        <w:spacing w:beforeAutospacing="0" w:after="240" w:afterAutospacing="0"/>
        <w:ind w:firstLineChars="200" w:firstLine="420"/>
        <w:jc w:val="both"/>
        <w:rPr>
          <w:rFonts w:ascii="微软雅黑" w:eastAsia="微软雅黑" w:hAnsi="微软雅黑" w:cs="微软雅黑"/>
          <w:b/>
          <w:bCs/>
          <w:color w:val="000000"/>
          <w:sz w:val="21"/>
          <w:szCs w:val="21"/>
          <w:shd w:val="clear" w:color="auto" w:fill="FFFFFF"/>
        </w:rPr>
      </w:pPr>
      <w:r>
        <w:rPr>
          <w:rFonts w:ascii="微软雅黑" w:eastAsia="微软雅黑" w:hAnsi="微软雅黑" w:cs="微软雅黑" w:hint="eastAsia"/>
          <w:b/>
          <w:bCs/>
          <w:color w:val="000000"/>
          <w:sz w:val="21"/>
          <w:szCs w:val="21"/>
          <w:shd w:val="clear" w:color="auto" w:fill="FFFFFF"/>
        </w:rPr>
        <w:t>行业紧缺人才</w:t>
      </w:r>
    </w:p>
    <w:p w:rsidR="0054548D" w:rsidRDefault="00681864">
      <w:pPr>
        <w:pStyle w:val="a3"/>
        <w:widowControl/>
        <w:spacing w:beforeAutospacing="0" w:after="240" w:afterAutospacing="0"/>
        <w:ind w:firstLineChars="200" w:firstLine="420"/>
        <w:jc w:val="both"/>
        <w:rPr>
          <w:rFonts w:ascii="微软雅黑" w:eastAsia="微软雅黑" w:hAnsi="微软雅黑" w:cs="微软雅黑"/>
          <w:color w:val="000000"/>
          <w:sz w:val="21"/>
          <w:szCs w:val="21"/>
          <w:shd w:val="clear" w:color="auto" w:fill="FFFFFF"/>
        </w:rPr>
      </w:pPr>
      <w:r>
        <w:rPr>
          <w:rFonts w:ascii="微软雅黑" w:eastAsia="微软雅黑" w:hAnsi="微软雅黑" w:cs="微软雅黑" w:hint="eastAsia"/>
          <w:color w:val="000000"/>
          <w:sz w:val="21"/>
          <w:szCs w:val="21"/>
          <w:shd w:val="clear" w:color="auto" w:fill="FFFFFF"/>
        </w:rPr>
        <w:t>目前财会人才结构比例失衡，一方面，基础财会工作者将被现代技术快速取代；另一方面，企业对管理会计岗位需求急剧增长，但却面临招不到合适的管理会计人才的困境。</w:t>
      </w:r>
    </w:p>
    <w:p w:rsidR="0054548D" w:rsidRDefault="00681864">
      <w:pPr>
        <w:pStyle w:val="a3"/>
        <w:widowControl/>
        <w:spacing w:beforeAutospacing="0" w:after="240" w:afterAutospacing="0"/>
        <w:ind w:firstLineChars="200" w:firstLine="420"/>
        <w:jc w:val="both"/>
        <w:rPr>
          <w:rFonts w:ascii="微软雅黑" w:eastAsia="微软雅黑" w:hAnsi="微软雅黑" w:cs="微软雅黑"/>
          <w:sz w:val="21"/>
          <w:szCs w:val="21"/>
        </w:rPr>
      </w:pPr>
      <w:r>
        <w:rPr>
          <w:rFonts w:ascii="微软雅黑" w:eastAsia="微软雅黑" w:hAnsi="微软雅黑" w:cs="微软雅黑" w:hint="eastAsia"/>
          <w:noProof/>
          <w:sz w:val="21"/>
          <w:szCs w:val="21"/>
        </w:rPr>
        <w:drawing>
          <wp:inline distT="0" distB="0" distL="0" distR="0">
            <wp:extent cx="3895090" cy="2138045"/>
            <wp:effectExtent l="0" t="0" r="9525" b="14605"/>
            <wp:docPr id="1028" name="图片 2" descr="e2187392f38d4cb5b00d2b4048794a27"/>
            <wp:cNvGraphicFramePr/>
            <a:graphic xmlns:a="http://schemas.openxmlformats.org/drawingml/2006/main">
              <a:graphicData uri="http://schemas.openxmlformats.org/drawingml/2006/picture">
                <pic:pic xmlns:pic="http://schemas.openxmlformats.org/drawingml/2006/picture">
                  <pic:nvPicPr>
                    <pic:cNvPr id="1028" name="图片 2" descr="e2187392f38d4cb5b00d2b4048794a27"/>
                    <pic:cNvPicPr/>
                  </pic:nvPicPr>
                  <pic:blipFill>
                    <a:blip r:embed="rId7" cstate="print"/>
                    <a:srcRect/>
                    <a:stretch>
                      <a:fillRect/>
                    </a:stretch>
                  </pic:blipFill>
                  <pic:spPr>
                    <a:xfrm>
                      <a:off x="0" y="0"/>
                      <a:ext cx="3895724" cy="2138045"/>
                    </a:xfrm>
                    <a:prstGeom prst="rect">
                      <a:avLst/>
                    </a:prstGeom>
                    <a:ln>
                      <a:noFill/>
                    </a:ln>
                  </pic:spPr>
                </pic:pic>
              </a:graphicData>
            </a:graphic>
          </wp:inline>
        </w:drawing>
      </w:r>
    </w:p>
    <w:p w:rsidR="0054548D" w:rsidRDefault="00681864">
      <w:pPr>
        <w:pStyle w:val="a3"/>
        <w:widowControl/>
        <w:spacing w:beforeAutospacing="0" w:after="240" w:afterAutospacing="0"/>
        <w:ind w:firstLineChars="200" w:firstLine="420"/>
        <w:jc w:val="both"/>
        <w:rPr>
          <w:rFonts w:ascii="微软雅黑" w:eastAsia="微软雅黑" w:hAnsi="微软雅黑" w:cs="微软雅黑"/>
          <w:b/>
          <w:bCs/>
          <w:color w:val="000000"/>
          <w:sz w:val="21"/>
          <w:szCs w:val="21"/>
          <w:shd w:val="clear" w:color="auto" w:fill="FFFFFF"/>
        </w:rPr>
      </w:pPr>
      <w:r>
        <w:rPr>
          <w:rFonts w:ascii="微软雅黑" w:eastAsia="微软雅黑" w:hAnsi="微软雅黑" w:cs="微软雅黑" w:hint="eastAsia"/>
          <w:b/>
          <w:bCs/>
          <w:color w:val="000000"/>
          <w:sz w:val="21"/>
          <w:szCs w:val="21"/>
          <w:shd w:val="clear" w:color="auto" w:fill="FFFFFF"/>
        </w:rPr>
        <w:t>政府高额补贴</w:t>
      </w:r>
    </w:p>
    <w:p w:rsidR="0054548D" w:rsidRDefault="00681864">
      <w:pPr>
        <w:pStyle w:val="a3"/>
        <w:widowControl/>
        <w:spacing w:beforeAutospacing="0" w:after="240" w:afterAutospacing="0"/>
        <w:ind w:firstLineChars="200" w:firstLine="420"/>
        <w:jc w:val="both"/>
        <w:rPr>
          <w:rFonts w:ascii="微软雅黑" w:eastAsia="微软雅黑" w:hAnsi="微软雅黑" w:cs="微软雅黑"/>
          <w:color w:val="000000"/>
          <w:sz w:val="21"/>
          <w:szCs w:val="21"/>
          <w:shd w:val="clear" w:color="auto" w:fill="FFFFFF"/>
        </w:rPr>
      </w:pPr>
      <w:r>
        <w:rPr>
          <w:rFonts w:ascii="微软雅黑" w:eastAsia="微软雅黑" w:hAnsi="微软雅黑" w:cs="微软雅黑" w:hint="eastAsia"/>
          <w:color w:val="000000"/>
          <w:sz w:val="21"/>
          <w:szCs w:val="21"/>
          <w:shd w:val="clear" w:color="auto" w:fill="FFFFFF"/>
        </w:rPr>
        <w:lastRenderedPageBreak/>
        <w:t>CMA自2009年引进至今，国资委已连续四年下发红头文件要求国资委所属企业带头组织财务人员进行CMA培训，CMA还被国资委列为财务高管人员指定培训课程，纳入国家高级管理人才考评体系。</w:t>
      </w:r>
    </w:p>
    <w:p w:rsidR="0054548D" w:rsidRDefault="00681864">
      <w:pPr>
        <w:pStyle w:val="a3"/>
        <w:widowControl/>
        <w:spacing w:beforeAutospacing="0" w:after="240" w:afterAutospacing="0"/>
        <w:ind w:firstLineChars="200" w:firstLine="420"/>
        <w:jc w:val="both"/>
        <w:rPr>
          <w:rFonts w:ascii="微软雅黑" w:eastAsia="微软雅黑" w:hAnsi="微软雅黑" w:cs="微软雅黑"/>
          <w:color w:val="000000"/>
          <w:sz w:val="21"/>
          <w:szCs w:val="21"/>
          <w:shd w:val="clear" w:color="auto" w:fill="FFFFFF"/>
        </w:rPr>
      </w:pPr>
      <w:r>
        <w:rPr>
          <w:rFonts w:ascii="微软雅黑" w:eastAsia="微软雅黑" w:hAnsi="微软雅黑" w:cs="微软雅黑" w:hint="eastAsia"/>
          <w:color w:val="000000"/>
          <w:sz w:val="21"/>
          <w:szCs w:val="21"/>
          <w:shd w:val="clear" w:color="auto" w:fill="FFFFFF"/>
        </w:rPr>
        <w:t>为了加快CMA人才的培养，全国多省市纷纷把CMA纳入紧缺人才目录，并给以高额的补贴。</w:t>
      </w:r>
    </w:p>
    <w:p w:rsidR="0054548D" w:rsidRDefault="00681864">
      <w:pPr>
        <w:pStyle w:val="a3"/>
        <w:widowControl/>
        <w:spacing w:beforeAutospacing="0" w:after="240" w:afterAutospacing="0"/>
        <w:ind w:firstLineChars="200" w:firstLine="480"/>
        <w:jc w:val="both"/>
        <w:rPr>
          <w:rFonts w:ascii="微软雅黑" w:eastAsia="微软雅黑" w:hAnsi="微软雅黑" w:cs="微软雅黑"/>
          <w:color w:val="000000"/>
          <w:sz w:val="21"/>
          <w:szCs w:val="21"/>
          <w:shd w:val="clear" w:color="auto" w:fill="FFFFFF"/>
        </w:rPr>
      </w:pPr>
      <w:r>
        <w:rPr>
          <w:noProof/>
        </w:rPr>
        <w:drawing>
          <wp:inline distT="0" distB="0" distL="0" distR="0">
            <wp:extent cx="5210175" cy="2733675"/>
            <wp:effectExtent l="0" t="0" r="9525" b="9525"/>
            <wp:docPr id="1029" name="图片 1"/>
            <wp:cNvGraphicFramePr/>
            <a:graphic xmlns:a="http://schemas.openxmlformats.org/drawingml/2006/main">
              <a:graphicData uri="http://schemas.openxmlformats.org/drawingml/2006/picture">
                <pic:pic xmlns:pic="http://schemas.openxmlformats.org/drawingml/2006/picture">
                  <pic:nvPicPr>
                    <pic:cNvPr id="1029" name="图片 1"/>
                    <pic:cNvPicPr/>
                  </pic:nvPicPr>
                  <pic:blipFill>
                    <a:blip r:embed="rId8" cstate="print"/>
                    <a:srcRect/>
                    <a:stretch>
                      <a:fillRect/>
                    </a:stretch>
                  </pic:blipFill>
                  <pic:spPr>
                    <a:xfrm>
                      <a:off x="0" y="0"/>
                      <a:ext cx="5210175" cy="2733675"/>
                    </a:xfrm>
                    <a:prstGeom prst="rect">
                      <a:avLst/>
                    </a:prstGeom>
                    <a:ln>
                      <a:noFill/>
                    </a:ln>
                  </pic:spPr>
                </pic:pic>
              </a:graphicData>
            </a:graphic>
          </wp:inline>
        </w:drawing>
      </w:r>
    </w:p>
    <w:p w:rsidR="0054548D" w:rsidRDefault="00681864">
      <w:pPr>
        <w:pStyle w:val="a3"/>
        <w:widowControl/>
        <w:spacing w:beforeAutospacing="0" w:after="240" w:afterAutospacing="0"/>
        <w:ind w:firstLineChars="200" w:firstLine="420"/>
        <w:jc w:val="both"/>
        <w:rPr>
          <w:rFonts w:ascii="微软雅黑" w:eastAsia="微软雅黑" w:hAnsi="微软雅黑" w:cs="微软雅黑"/>
          <w:b/>
          <w:bCs/>
          <w:color w:val="000000"/>
          <w:sz w:val="21"/>
          <w:szCs w:val="21"/>
          <w:shd w:val="clear" w:color="auto" w:fill="FFFFFF"/>
        </w:rPr>
      </w:pPr>
      <w:r>
        <w:rPr>
          <w:rFonts w:ascii="微软雅黑" w:eastAsia="微软雅黑" w:hAnsi="微软雅黑" w:cs="微软雅黑" w:hint="eastAsia"/>
          <w:b/>
          <w:bCs/>
          <w:color w:val="000000"/>
          <w:sz w:val="21"/>
          <w:szCs w:val="21"/>
          <w:shd w:val="clear" w:color="auto" w:fill="FFFFFF"/>
        </w:rPr>
        <w:t>五百强职业认可</w:t>
      </w:r>
    </w:p>
    <w:p w:rsidR="0054548D" w:rsidRDefault="00681864">
      <w:pPr>
        <w:pStyle w:val="a3"/>
        <w:widowControl/>
        <w:spacing w:beforeAutospacing="0" w:after="240" w:afterAutospacing="0"/>
        <w:ind w:firstLineChars="200" w:firstLine="420"/>
        <w:jc w:val="both"/>
        <w:rPr>
          <w:rFonts w:ascii="微软雅黑" w:eastAsia="微软雅黑" w:hAnsi="微软雅黑" w:cs="微软雅黑"/>
          <w:color w:val="000000"/>
          <w:sz w:val="21"/>
          <w:szCs w:val="21"/>
          <w:shd w:val="clear" w:color="auto" w:fill="FFFFFF"/>
        </w:rPr>
      </w:pPr>
      <w:r>
        <w:rPr>
          <w:rFonts w:ascii="微软雅黑" w:eastAsia="微软雅黑" w:hAnsi="微软雅黑" w:cs="微软雅黑"/>
          <w:color w:val="000000"/>
          <w:sz w:val="21"/>
          <w:szCs w:val="21"/>
          <w:shd w:val="clear" w:color="auto" w:fill="FFFFFF"/>
        </w:rPr>
        <w:t>海尔、金蝶组织CMA内训，平安集团加入全面推广CMA计划，西门子、宝洁、ABB、卡特彼勒、巴斯夫、惠普、德勤、普华永道、强生、百事可乐、摩根大通、毕马威、中国农业银行、通用汽车等世界500强均已成为CMA“忠实粉丝”。</w:t>
      </w:r>
    </w:p>
    <w:p w:rsidR="0054548D" w:rsidRDefault="00681864">
      <w:pPr>
        <w:pStyle w:val="a3"/>
        <w:widowControl/>
        <w:spacing w:beforeAutospacing="0" w:after="240" w:afterAutospacing="0"/>
        <w:ind w:firstLineChars="200" w:firstLine="480"/>
        <w:jc w:val="both"/>
        <w:rPr>
          <w:rFonts w:ascii="微软雅黑" w:eastAsia="微软雅黑" w:hAnsi="微软雅黑" w:cs="微软雅黑"/>
          <w:color w:val="000000"/>
          <w:sz w:val="21"/>
          <w:szCs w:val="21"/>
          <w:shd w:val="clear" w:color="auto" w:fill="FFFFFF"/>
        </w:rPr>
      </w:pPr>
      <w:r>
        <w:rPr>
          <w:noProof/>
        </w:rPr>
        <w:drawing>
          <wp:inline distT="0" distB="0" distL="0" distR="0">
            <wp:extent cx="3438525" cy="1037590"/>
            <wp:effectExtent l="0" t="0" r="9525" b="9525"/>
            <wp:docPr id="1030" name="图片 2"/>
            <wp:cNvGraphicFramePr/>
            <a:graphic xmlns:a="http://schemas.openxmlformats.org/drawingml/2006/main">
              <a:graphicData uri="http://schemas.openxmlformats.org/drawingml/2006/picture">
                <pic:pic xmlns:pic="http://schemas.openxmlformats.org/drawingml/2006/picture">
                  <pic:nvPicPr>
                    <pic:cNvPr id="1030" name="图片 2"/>
                    <pic:cNvPicPr/>
                  </pic:nvPicPr>
                  <pic:blipFill>
                    <a:blip r:embed="rId9" cstate="print"/>
                    <a:srcRect/>
                    <a:stretch>
                      <a:fillRect/>
                    </a:stretch>
                  </pic:blipFill>
                  <pic:spPr>
                    <a:xfrm>
                      <a:off x="0" y="0"/>
                      <a:ext cx="3438525" cy="1038224"/>
                    </a:xfrm>
                    <a:prstGeom prst="rect">
                      <a:avLst/>
                    </a:prstGeom>
                    <a:ln>
                      <a:noFill/>
                    </a:ln>
                  </pic:spPr>
                </pic:pic>
              </a:graphicData>
            </a:graphic>
          </wp:inline>
        </w:drawing>
      </w:r>
    </w:p>
    <w:p w:rsidR="0054548D" w:rsidRDefault="00681864">
      <w:pPr>
        <w:pStyle w:val="a3"/>
        <w:widowControl/>
        <w:spacing w:beforeAutospacing="0" w:after="240" w:afterAutospacing="0"/>
        <w:ind w:firstLineChars="200" w:firstLine="420"/>
        <w:jc w:val="both"/>
        <w:rPr>
          <w:rFonts w:ascii="微软雅黑" w:eastAsia="微软雅黑" w:hAnsi="微软雅黑" w:cs="微软雅黑"/>
          <w:b/>
          <w:bCs/>
          <w:color w:val="000000"/>
          <w:sz w:val="21"/>
          <w:szCs w:val="21"/>
          <w:shd w:val="clear" w:color="auto" w:fill="FFFFFF"/>
        </w:rPr>
      </w:pPr>
      <w:r>
        <w:rPr>
          <w:rFonts w:ascii="微软雅黑" w:eastAsia="微软雅黑" w:hAnsi="微软雅黑" w:cs="微软雅黑" w:hint="eastAsia"/>
          <w:b/>
          <w:bCs/>
          <w:color w:val="000000"/>
          <w:sz w:val="21"/>
          <w:szCs w:val="21"/>
          <w:shd w:val="clear" w:color="auto" w:fill="FFFFFF"/>
        </w:rPr>
        <w:t>八大黄金优势</w:t>
      </w:r>
    </w:p>
    <w:p w:rsidR="0054548D" w:rsidRDefault="00681864">
      <w:pPr>
        <w:pStyle w:val="a3"/>
        <w:widowControl/>
        <w:spacing w:beforeAutospacing="0" w:after="240" w:afterAutospacing="0"/>
        <w:ind w:firstLineChars="200" w:firstLine="420"/>
        <w:jc w:val="both"/>
        <w:rPr>
          <w:rFonts w:ascii="微软雅黑" w:eastAsia="微软雅黑" w:hAnsi="微软雅黑" w:cs="微软雅黑"/>
          <w:color w:val="000000"/>
          <w:sz w:val="21"/>
          <w:szCs w:val="21"/>
          <w:shd w:val="clear" w:color="auto" w:fill="FFFFFF"/>
        </w:rPr>
      </w:pPr>
      <w:r>
        <w:rPr>
          <w:rFonts w:ascii="微软雅黑" w:eastAsia="微软雅黑" w:hAnsi="微软雅黑" w:cs="微软雅黑" w:hint="eastAsia"/>
          <w:color w:val="000000"/>
          <w:sz w:val="21"/>
          <w:szCs w:val="21"/>
          <w:shd w:val="clear" w:color="auto" w:fill="FFFFFF"/>
        </w:rPr>
        <w:lastRenderedPageBreak/>
        <w:t>全球认可：全球180个国家认可，百年机构，权威公信，三大黄金认证之一</w:t>
      </w:r>
    </w:p>
    <w:p w:rsidR="0054548D" w:rsidRDefault="00681864">
      <w:pPr>
        <w:pStyle w:val="a3"/>
        <w:widowControl/>
        <w:spacing w:beforeAutospacing="0" w:after="240" w:afterAutospacing="0"/>
        <w:ind w:firstLineChars="200" w:firstLine="420"/>
        <w:jc w:val="both"/>
        <w:rPr>
          <w:rFonts w:ascii="微软雅黑" w:eastAsia="微软雅黑" w:hAnsi="微软雅黑" w:cs="微软雅黑"/>
          <w:color w:val="000000"/>
          <w:sz w:val="21"/>
          <w:szCs w:val="21"/>
          <w:shd w:val="clear" w:color="auto" w:fill="FFFFFF"/>
        </w:rPr>
      </w:pPr>
      <w:r>
        <w:rPr>
          <w:rFonts w:ascii="微软雅黑" w:eastAsia="微软雅黑" w:hAnsi="微软雅黑" w:cs="微软雅黑" w:hint="eastAsia"/>
          <w:color w:val="000000"/>
          <w:sz w:val="21"/>
          <w:szCs w:val="21"/>
          <w:shd w:val="clear" w:color="auto" w:fill="FFFFFF"/>
        </w:rPr>
        <w:t>语言自选：中英文两种考试语言，唯一翻译成中文的管理会计认证</w:t>
      </w:r>
    </w:p>
    <w:p w:rsidR="0054548D" w:rsidRDefault="00681864">
      <w:pPr>
        <w:pStyle w:val="a3"/>
        <w:widowControl/>
        <w:spacing w:beforeAutospacing="0" w:after="240" w:afterAutospacing="0"/>
        <w:ind w:firstLineChars="200" w:firstLine="420"/>
        <w:jc w:val="both"/>
        <w:rPr>
          <w:rFonts w:ascii="微软雅黑" w:eastAsia="微软雅黑" w:hAnsi="微软雅黑" w:cs="微软雅黑"/>
          <w:color w:val="000000"/>
          <w:sz w:val="21"/>
          <w:szCs w:val="21"/>
          <w:shd w:val="clear" w:color="auto" w:fill="FFFFFF"/>
        </w:rPr>
      </w:pPr>
      <w:r>
        <w:rPr>
          <w:rFonts w:ascii="微软雅黑" w:eastAsia="微软雅黑" w:hAnsi="微软雅黑" w:cs="微软雅黑" w:hint="eastAsia"/>
          <w:color w:val="000000"/>
          <w:sz w:val="21"/>
          <w:szCs w:val="21"/>
          <w:shd w:val="clear" w:color="auto" w:fill="FFFFFF"/>
        </w:rPr>
        <w:t>拓展人脉：成为财务专业人士活跃社区的一份子，拓展职业社群</w:t>
      </w:r>
    </w:p>
    <w:p w:rsidR="0054548D" w:rsidRDefault="00681864">
      <w:pPr>
        <w:pStyle w:val="a3"/>
        <w:widowControl/>
        <w:spacing w:beforeAutospacing="0" w:after="240" w:afterAutospacing="0"/>
        <w:ind w:firstLineChars="200" w:firstLine="420"/>
        <w:jc w:val="both"/>
        <w:rPr>
          <w:rFonts w:ascii="微软雅黑" w:eastAsia="微软雅黑" w:hAnsi="微软雅黑" w:cs="微软雅黑"/>
          <w:color w:val="000000"/>
          <w:sz w:val="21"/>
          <w:szCs w:val="21"/>
          <w:shd w:val="clear" w:color="auto" w:fill="FFFFFF"/>
        </w:rPr>
      </w:pPr>
      <w:r>
        <w:rPr>
          <w:rFonts w:ascii="微软雅黑" w:eastAsia="微软雅黑" w:hAnsi="微软雅黑" w:cs="微软雅黑" w:hint="eastAsia"/>
          <w:color w:val="000000"/>
          <w:sz w:val="21"/>
          <w:szCs w:val="21"/>
          <w:shd w:val="clear" w:color="auto" w:fill="FFFFFF"/>
        </w:rPr>
        <w:t>时间灵活：中英文考试每年分别有三个考试窗口期</w:t>
      </w:r>
    </w:p>
    <w:p w:rsidR="0054548D" w:rsidRDefault="00681864">
      <w:pPr>
        <w:pStyle w:val="a3"/>
        <w:widowControl/>
        <w:spacing w:beforeAutospacing="0" w:after="240" w:afterAutospacing="0"/>
        <w:ind w:firstLineChars="200" w:firstLine="420"/>
        <w:jc w:val="both"/>
        <w:rPr>
          <w:rFonts w:ascii="微软雅黑" w:eastAsia="微软雅黑" w:hAnsi="微软雅黑" w:cs="微软雅黑"/>
          <w:color w:val="000000"/>
          <w:sz w:val="21"/>
          <w:szCs w:val="21"/>
          <w:shd w:val="clear" w:color="auto" w:fill="FFFFFF"/>
        </w:rPr>
      </w:pPr>
      <w:r>
        <w:rPr>
          <w:rFonts w:ascii="微软雅黑" w:eastAsia="微软雅黑" w:hAnsi="微软雅黑" w:cs="微软雅黑" w:hint="eastAsia"/>
          <w:color w:val="000000"/>
          <w:sz w:val="21"/>
          <w:szCs w:val="21"/>
          <w:shd w:val="clear" w:color="auto" w:fill="FFFFFF"/>
        </w:rPr>
        <w:t>晋升快：有晋级到财务领域战略角色所需的专业知识和技能</w:t>
      </w:r>
    </w:p>
    <w:p w:rsidR="0054548D" w:rsidRDefault="00681864">
      <w:pPr>
        <w:pStyle w:val="a3"/>
        <w:widowControl/>
        <w:spacing w:beforeAutospacing="0" w:after="240" w:afterAutospacing="0"/>
        <w:ind w:firstLineChars="200" w:firstLine="420"/>
        <w:jc w:val="both"/>
        <w:rPr>
          <w:rFonts w:ascii="微软雅黑" w:eastAsia="微软雅黑" w:hAnsi="微软雅黑" w:cs="微软雅黑"/>
          <w:color w:val="000000"/>
          <w:sz w:val="21"/>
          <w:szCs w:val="21"/>
          <w:shd w:val="clear" w:color="auto" w:fill="FFFFFF"/>
        </w:rPr>
      </w:pPr>
      <w:r>
        <w:rPr>
          <w:rFonts w:ascii="微软雅黑" w:eastAsia="微软雅黑" w:hAnsi="微软雅黑" w:cs="微软雅黑" w:hint="eastAsia"/>
          <w:color w:val="000000"/>
          <w:sz w:val="21"/>
          <w:szCs w:val="21"/>
          <w:shd w:val="clear" w:color="auto" w:fill="FFFFFF"/>
        </w:rPr>
        <w:t>互补强：与传统财务会计领域认证(CPA、ACCA等)具有良好的互补性</w:t>
      </w:r>
    </w:p>
    <w:p w:rsidR="0054548D" w:rsidRDefault="00681864">
      <w:pPr>
        <w:pStyle w:val="a3"/>
        <w:widowControl/>
        <w:spacing w:beforeAutospacing="0" w:after="240" w:afterAutospacing="0"/>
        <w:ind w:firstLineChars="200" w:firstLine="420"/>
        <w:jc w:val="both"/>
        <w:rPr>
          <w:rFonts w:ascii="微软雅黑" w:eastAsia="微软雅黑" w:hAnsi="微软雅黑" w:cs="微软雅黑"/>
          <w:color w:val="000000"/>
          <w:sz w:val="21"/>
          <w:szCs w:val="21"/>
          <w:shd w:val="clear" w:color="auto" w:fill="FFFFFF"/>
        </w:rPr>
      </w:pPr>
      <w:r>
        <w:rPr>
          <w:rFonts w:ascii="微软雅黑" w:eastAsia="微软雅黑" w:hAnsi="微软雅黑" w:cs="微软雅黑" w:hint="eastAsia"/>
          <w:color w:val="000000"/>
          <w:sz w:val="21"/>
          <w:szCs w:val="21"/>
          <w:shd w:val="clear" w:color="auto" w:fill="FFFFFF"/>
        </w:rPr>
        <w:t>周期短：仅P1和P2</w:t>
      </w:r>
      <w:proofErr w:type="gramStart"/>
      <w:r>
        <w:rPr>
          <w:rFonts w:ascii="微软雅黑" w:eastAsia="微软雅黑" w:hAnsi="微软雅黑" w:cs="微软雅黑" w:hint="eastAsia"/>
          <w:color w:val="000000"/>
          <w:sz w:val="21"/>
          <w:szCs w:val="21"/>
          <w:shd w:val="clear" w:color="auto" w:fill="FFFFFF"/>
        </w:rPr>
        <w:t>两</w:t>
      </w:r>
      <w:proofErr w:type="gramEnd"/>
      <w:r>
        <w:rPr>
          <w:rFonts w:ascii="微软雅黑" w:eastAsia="微软雅黑" w:hAnsi="微软雅黑" w:cs="微软雅黑" w:hint="eastAsia"/>
          <w:color w:val="000000"/>
          <w:sz w:val="21"/>
          <w:szCs w:val="21"/>
          <w:shd w:val="clear" w:color="auto" w:fill="FFFFFF"/>
        </w:rPr>
        <w:t>科,1-1.5年通过</w:t>
      </w:r>
    </w:p>
    <w:p w:rsidR="0054548D" w:rsidRDefault="00681864">
      <w:pPr>
        <w:pStyle w:val="a3"/>
        <w:widowControl/>
        <w:spacing w:beforeAutospacing="0" w:after="240" w:afterAutospacing="0"/>
        <w:ind w:firstLineChars="200" w:firstLine="420"/>
        <w:jc w:val="both"/>
        <w:rPr>
          <w:rFonts w:ascii="微软雅黑" w:eastAsia="微软雅黑" w:hAnsi="微软雅黑" w:cs="微软雅黑"/>
          <w:color w:val="000000"/>
          <w:sz w:val="21"/>
          <w:szCs w:val="21"/>
          <w:shd w:val="clear" w:color="auto" w:fill="FFFFFF"/>
        </w:rPr>
      </w:pPr>
      <w:r>
        <w:rPr>
          <w:rFonts w:ascii="微软雅黑" w:eastAsia="微软雅黑" w:hAnsi="微软雅黑" w:cs="微软雅黑" w:hint="eastAsia"/>
          <w:color w:val="000000"/>
          <w:sz w:val="21"/>
          <w:szCs w:val="21"/>
          <w:shd w:val="clear" w:color="auto" w:fill="FFFFFF"/>
        </w:rPr>
        <w:t>收入高：持有 CMA 认证的专业人士年总收入比非持证者高 57%</w:t>
      </w:r>
    </w:p>
    <w:p w:rsidR="0054548D" w:rsidRDefault="00681864">
      <w:pPr>
        <w:pStyle w:val="a3"/>
        <w:widowControl/>
        <w:spacing w:beforeAutospacing="0" w:after="240" w:afterAutospacing="0"/>
        <w:ind w:firstLineChars="200" w:firstLine="420"/>
        <w:jc w:val="both"/>
        <w:rPr>
          <w:rFonts w:ascii="微软雅黑" w:eastAsia="微软雅黑" w:hAnsi="微软雅黑" w:cs="微软雅黑"/>
          <w:b/>
          <w:bCs/>
          <w:color w:val="000000"/>
          <w:sz w:val="21"/>
          <w:szCs w:val="21"/>
          <w:shd w:val="clear" w:color="auto" w:fill="FFFFFF"/>
        </w:rPr>
      </w:pPr>
      <w:r>
        <w:rPr>
          <w:rFonts w:ascii="微软雅黑" w:eastAsia="微软雅黑" w:hAnsi="微软雅黑" w:cs="微软雅黑" w:hint="eastAsia"/>
          <w:b/>
          <w:bCs/>
          <w:color w:val="000000"/>
          <w:sz w:val="21"/>
          <w:szCs w:val="21"/>
          <w:shd w:val="clear" w:color="auto" w:fill="FFFFFF"/>
        </w:rPr>
        <w:t>考试相关信息</w:t>
      </w:r>
    </w:p>
    <w:p w:rsidR="0054548D" w:rsidRDefault="00681864">
      <w:pPr>
        <w:pStyle w:val="a3"/>
        <w:widowControl/>
        <w:spacing w:beforeAutospacing="0" w:after="240" w:afterAutospacing="0"/>
        <w:ind w:firstLineChars="200" w:firstLine="420"/>
        <w:jc w:val="both"/>
        <w:rPr>
          <w:rFonts w:ascii="微软雅黑" w:eastAsia="微软雅黑" w:hAnsi="微软雅黑" w:cs="微软雅黑"/>
          <w:color w:val="000000"/>
          <w:sz w:val="21"/>
          <w:szCs w:val="21"/>
          <w:shd w:val="clear" w:color="auto" w:fill="FFFFFF"/>
        </w:rPr>
      </w:pPr>
      <w:r>
        <w:rPr>
          <w:rFonts w:ascii="微软雅黑" w:eastAsia="微软雅黑" w:hAnsi="微软雅黑" w:cs="微软雅黑" w:hint="eastAsia"/>
          <w:color w:val="000000"/>
          <w:sz w:val="21"/>
          <w:szCs w:val="21"/>
          <w:shd w:val="clear" w:color="auto" w:fill="FFFFFF"/>
        </w:rPr>
        <w:t>考试范围（2020新实施考纲）：</w:t>
      </w:r>
    </w:p>
    <w:p w:rsidR="0054548D" w:rsidRDefault="00681864" w:rsidP="00C708A5">
      <w:pPr>
        <w:pStyle w:val="a3"/>
        <w:widowControl/>
        <w:spacing w:beforeAutospacing="0" w:after="240" w:afterAutospacing="0"/>
        <w:ind w:firstLineChars="200" w:firstLine="480"/>
        <w:jc w:val="both"/>
        <w:rPr>
          <w:rFonts w:ascii="微软雅黑" w:eastAsia="微软雅黑" w:hAnsi="微软雅黑" w:cs="微软雅黑"/>
          <w:color w:val="000000"/>
          <w:sz w:val="21"/>
          <w:szCs w:val="21"/>
          <w:shd w:val="clear" w:color="auto" w:fill="FFFFFF"/>
        </w:rPr>
      </w:pPr>
      <w:r>
        <w:rPr>
          <w:noProof/>
        </w:rPr>
        <w:lastRenderedPageBreak/>
        <w:drawing>
          <wp:inline distT="0" distB="0" distL="0" distR="0">
            <wp:extent cx="4876800" cy="5638800"/>
            <wp:effectExtent l="0" t="0" r="0" b="0"/>
            <wp:docPr id="1031" name="图片 3"/>
            <wp:cNvGraphicFramePr/>
            <a:graphic xmlns:a="http://schemas.openxmlformats.org/drawingml/2006/main">
              <a:graphicData uri="http://schemas.openxmlformats.org/drawingml/2006/picture">
                <pic:pic xmlns:pic="http://schemas.openxmlformats.org/drawingml/2006/picture">
                  <pic:nvPicPr>
                    <pic:cNvPr id="1031" name="图片 3"/>
                    <pic:cNvPicPr/>
                  </pic:nvPicPr>
                  <pic:blipFill>
                    <a:blip r:embed="rId10" cstate="print"/>
                    <a:srcRect/>
                    <a:stretch>
                      <a:fillRect/>
                    </a:stretch>
                  </pic:blipFill>
                  <pic:spPr>
                    <a:xfrm>
                      <a:off x="0" y="0"/>
                      <a:ext cx="4876800" cy="5638800"/>
                    </a:xfrm>
                    <a:prstGeom prst="rect">
                      <a:avLst/>
                    </a:prstGeom>
                    <a:ln>
                      <a:noFill/>
                    </a:ln>
                  </pic:spPr>
                </pic:pic>
              </a:graphicData>
            </a:graphic>
          </wp:inline>
        </w:drawing>
      </w:r>
    </w:p>
    <w:p w:rsidR="0054548D" w:rsidRPr="00681864" w:rsidRDefault="00681864">
      <w:pPr>
        <w:spacing w:line="360" w:lineRule="auto"/>
        <w:rPr>
          <w:rFonts w:ascii="微软雅黑" w:eastAsia="微软雅黑" w:hAnsi="微软雅黑" w:cs="微软雅黑"/>
          <w:b/>
          <w:color w:val="000000"/>
        </w:rPr>
      </w:pPr>
      <w:r w:rsidRPr="00681864">
        <w:rPr>
          <w:rFonts w:ascii="微软雅黑" w:eastAsia="微软雅黑" w:hAnsi="微软雅黑" w:cs="微软雅黑" w:hint="eastAsia"/>
          <w:b/>
          <w:color w:val="000000"/>
        </w:rPr>
        <w:t>CPA介绍</w:t>
      </w:r>
    </w:p>
    <w:p w:rsidR="0054548D" w:rsidRDefault="00681864">
      <w:pPr>
        <w:spacing w:line="360" w:lineRule="auto"/>
        <w:ind w:firstLineChars="200" w:firstLine="420"/>
        <w:rPr>
          <w:rFonts w:ascii="微软雅黑" w:eastAsia="微软雅黑" w:hAnsi="微软雅黑" w:cs="微软雅黑"/>
          <w:color w:val="000000"/>
        </w:rPr>
      </w:pPr>
      <w:r>
        <w:rPr>
          <w:rFonts w:ascii="微软雅黑" w:eastAsia="微软雅黑" w:hAnsi="微软雅黑" w:cs="微软雅黑" w:hint="eastAsia"/>
          <w:color w:val="000000"/>
        </w:rPr>
        <w:t>注册会计师，英文全称Certified Public Accountant，简称为CPA，是指依法取得注册会计师证书并接受委托从事审计和会计咨询、会计服务业务的执业人员。注册会计师是中国唯一官方认可的注册会计师资质，具有唯一拥有审计签字权。</w:t>
      </w:r>
    </w:p>
    <w:p w:rsidR="0054548D" w:rsidRDefault="00681864">
      <w:pPr>
        <w:spacing w:line="360" w:lineRule="auto"/>
        <w:ind w:firstLineChars="200" w:firstLine="420"/>
        <w:rPr>
          <w:rFonts w:ascii="微软雅黑" w:eastAsia="微软雅黑" w:hAnsi="微软雅黑" w:cs="微软雅黑"/>
          <w:b/>
          <w:bCs/>
          <w:color w:val="000000"/>
        </w:rPr>
      </w:pPr>
      <w:r>
        <w:rPr>
          <w:rFonts w:ascii="微软雅黑" w:eastAsia="微软雅黑" w:hAnsi="微软雅黑" w:cs="微软雅黑" w:hint="eastAsia"/>
          <w:b/>
          <w:bCs/>
          <w:color w:val="000000"/>
        </w:rPr>
        <w:t>官方政策加持</w:t>
      </w:r>
    </w:p>
    <w:p w:rsidR="0054548D" w:rsidRDefault="00681864">
      <w:pPr>
        <w:spacing w:line="360" w:lineRule="auto"/>
        <w:ind w:firstLineChars="200" w:firstLine="420"/>
        <w:rPr>
          <w:rFonts w:ascii="微软雅黑" w:eastAsia="微软雅黑" w:hAnsi="微软雅黑" w:cs="微软雅黑"/>
          <w:szCs w:val="21"/>
        </w:rPr>
      </w:pPr>
      <w:r>
        <w:rPr>
          <w:rFonts w:ascii="微软雅黑" w:eastAsia="微软雅黑" w:hAnsi="微软雅黑" w:cs="微软雅黑" w:hint="eastAsia"/>
          <w:szCs w:val="21"/>
        </w:rPr>
        <w:t>《中华人民共和国会计法》以国家立法形式赋予了执业CPA的签字权！人民日报发布“含金量超高的职业资格证书”，“CPA”位列财经、金融证书榜首！</w:t>
      </w:r>
    </w:p>
    <w:p w:rsidR="0054548D" w:rsidRDefault="00681864">
      <w:pPr>
        <w:spacing w:line="360" w:lineRule="auto"/>
        <w:ind w:firstLineChars="200" w:firstLine="420"/>
        <w:rPr>
          <w:rFonts w:ascii="微软雅黑" w:eastAsia="微软雅黑" w:hAnsi="微软雅黑" w:cs="微软雅黑"/>
          <w:szCs w:val="21"/>
        </w:rPr>
      </w:pPr>
      <w:r>
        <w:rPr>
          <w:rFonts w:ascii="微软雅黑" w:eastAsia="微软雅黑" w:hAnsi="微软雅黑" w:cs="微软雅黑" w:hint="eastAsia"/>
          <w:szCs w:val="21"/>
        </w:rPr>
        <w:lastRenderedPageBreak/>
        <w:t>2017年，颁布国家执业资格目录，“CPA”等41项准入类职业资格需“持证上岗”！</w:t>
      </w:r>
    </w:p>
    <w:p w:rsidR="0054548D" w:rsidRDefault="00681864">
      <w:pPr>
        <w:spacing w:line="360" w:lineRule="auto"/>
        <w:ind w:firstLineChars="200" w:firstLine="420"/>
        <w:rPr>
          <w:rFonts w:ascii="微软雅黑" w:eastAsia="微软雅黑" w:hAnsi="微软雅黑" w:cs="微软雅黑"/>
          <w:szCs w:val="21"/>
        </w:rPr>
      </w:pPr>
      <w:r>
        <w:rPr>
          <w:rFonts w:ascii="微软雅黑" w:eastAsia="微软雅黑" w:hAnsi="微软雅黑" w:cs="微软雅黑" w:hint="eastAsia"/>
          <w:szCs w:val="21"/>
        </w:rPr>
        <w:t>此外，北京、上海、广州、天津、南京等一线城市，给予CPA持证人一系列落户、购房、就业、医疗、子女入学等优惠政策，最高达170万！</w:t>
      </w:r>
    </w:p>
    <w:p w:rsidR="0054548D" w:rsidRDefault="00681864">
      <w:pPr>
        <w:ind w:firstLineChars="200" w:firstLine="420"/>
        <w:rPr>
          <w:rFonts w:ascii="微软雅黑" w:eastAsia="微软雅黑" w:hAnsi="微软雅黑" w:cs="微软雅黑"/>
          <w:b/>
          <w:bCs/>
          <w:szCs w:val="21"/>
        </w:rPr>
      </w:pPr>
      <w:r>
        <w:rPr>
          <w:rFonts w:ascii="微软雅黑" w:eastAsia="微软雅黑" w:hAnsi="微软雅黑" w:cs="微软雅黑" w:hint="eastAsia"/>
          <w:b/>
          <w:bCs/>
          <w:szCs w:val="21"/>
        </w:rPr>
        <w:t>行业人才缺口</w:t>
      </w:r>
    </w:p>
    <w:p w:rsidR="0054548D" w:rsidRDefault="00681864">
      <w:pPr>
        <w:ind w:firstLineChars="200" w:firstLine="420"/>
        <w:rPr>
          <w:rFonts w:ascii="微软雅黑" w:eastAsia="微软雅黑" w:hAnsi="微软雅黑" w:cs="微软雅黑"/>
          <w:szCs w:val="21"/>
        </w:rPr>
      </w:pPr>
      <w:r>
        <w:rPr>
          <w:rFonts w:ascii="微软雅黑" w:eastAsia="微软雅黑" w:hAnsi="微软雅黑" w:cs="微软雅黑" w:hint="eastAsia"/>
          <w:szCs w:val="21"/>
        </w:rPr>
        <w:t>我国会计行业的从业人员庞大，人才结构呈金字塔状：底层是从事重复性财务工作的基础财会工作者人数多，基数大；位于金字塔塔尖即是注册会计师（CPA）持证人。以此同时，伴随财务机器人、财务共享中心等技术革新，底层基础财会工作将会被快速取代，财经行业急需的是具有综合财务知识、服务财经市场决策的复合性人才！</w:t>
      </w:r>
    </w:p>
    <w:p w:rsidR="0054548D" w:rsidRDefault="00681864">
      <w:pPr>
        <w:ind w:firstLineChars="200" w:firstLine="420"/>
        <w:rPr>
          <w:rFonts w:ascii="微软雅黑" w:eastAsia="微软雅黑" w:hAnsi="微软雅黑" w:cs="微软雅黑"/>
          <w:b/>
          <w:bCs/>
          <w:szCs w:val="21"/>
        </w:rPr>
      </w:pPr>
      <w:r>
        <w:rPr>
          <w:rFonts w:ascii="微软雅黑" w:eastAsia="微软雅黑" w:hAnsi="微软雅黑" w:cs="微软雅黑" w:hint="eastAsia"/>
          <w:b/>
          <w:bCs/>
          <w:szCs w:val="21"/>
        </w:rPr>
        <w:t>职业高薪砝码</w:t>
      </w:r>
    </w:p>
    <w:p w:rsidR="0054548D" w:rsidRDefault="00681864">
      <w:pPr>
        <w:ind w:firstLineChars="200" w:firstLine="420"/>
        <w:rPr>
          <w:rFonts w:ascii="微软雅黑" w:eastAsia="微软雅黑" w:hAnsi="微软雅黑" w:cs="微软雅黑"/>
          <w:szCs w:val="21"/>
        </w:rPr>
      </w:pPr>
      <w:r>
        <w:rPr>
          <w:rFonts w:ascii="微软雅黑" w:eastAsia="微软雅黑" w:hAnsi="微软雅黑" w:cs="微软雅黑" w:hint="eastAsia"/>
          <w:szCs w:val="21"/>
        </w:rPr>
        <w:t>截至2020年3月31日，中</w:t>
      </w:r>
      <w:proofErr w:type="gramStart"/>
      <w:r>
        <w:rPr>
          <w:rFonts w:ascii="微软雅黑" w:eastAsia="微软雅黑" w:hAnsi="微软雅黑" w:cs="微软雅黑" w:hint="eastAsia"/>
          <w:szCs w:val="21"/>
        </w:rPr>
        <w:t>注协非执业</w:t>
      </w:r>
      <w:proofErr w:type="gramEnd"/>
      <w:r>
        <w:rPr>
          <w:rFonts w:ascii="微软雅黑" w:eastAsia="微软雅黑" w:hAnsi="微软雅黑" w:cs="微软雅黑" w:hint="eastAsia"/>
          <w:szCs w:val="21"/>
        </w:rPr>
        <w:t>会员有164152人，注册会计师（执业会员）108449人，个人会员272601人，单位会员（会计师事务所及其分所）9478家。</w:t>
      </w:r>
    </w:p>
    <w:p w:rsidR="0054548D" w:rsidRDefault="00681864">
      <w:pPr>
        <w:ind w:firstLineChars="200" w:firstLine="420"/>
        <w:rPr>
          <w:rFonts w:ascii="微软雅黑" w:eastAsia="微软雅黑" w:hAnsi="微软雅黑" w:cs="微软雅黑"/>
          <w:szCs w:val="21"/>
        </w:rPr>
      </w:pPr>
      <w:r>
        <w:rPr>
          <w:rFonts w:ascii="微软雅黑" w:eastAsia="微软雅黑" w:hAnsi="微软雅黑" w:cs="微软雅黑" w:hint="eastAsia"/>
          <w:szCs w:val="21"/>
        </w:rPr>
        <w:t>据招聘网站统计，年薪在15万以上的财会金融中高层管理职位，70-80%的职位注明中国注册会计师优先的或者就是直接要求持有CPA证书，而与CPA相关工作月薪分布大多集中分布在7000-20000元。</w:t>
      </w:r>
    </w:p>
    <w:p w:rsidR="0054548D" w:rsidRDefault="00681864">
      <w:pPr>
        <w:ind w:firstLineChars="200" w:firstLine="420"/>
        <w:rPr>
          <w:rFonts w:ascii="微软雅黑" w:eastAsia="微软雅黑" w:hAnsi="微软雅黑" w:cs="微软雅黑"/>
          <w:szCs w:val="21"/>
        </w:rPr>
      </w:pPr>
      <w:r>
        <w:rPr>
          <w:noProof/>
        </w:rPr>
        <w:drawing>
          <wp:inline distT="0" distB="0" distL="0" distR="0">
            <wp:extent cx="3505200" cy="3238500"/>
            <wp:effectExtent l="0" t="0" r="0" b="0"/>
            <wp:docPr id="1032" name="图片 6"/>
            <wp:cNvGraphicFramePr/>
            <a:graphic xmlns:a="http://schemas.openxmlformats.org/drawingml/2006/main">
              <a:graphicData uri="http://schemas.openxmlformats.org/drawingml/2006/picture">
                <pic:pic xmlns:pic="http://schemas.openxmlformats.org/drawingml/2006/picture">
                  <pic:nvPicPr>
                    <pic:cNvPr id="1032" name="图片 6"/>
                    <pic:cNvPicPr/>
                  </pic:nvPicPr>
                  <pic:blipFill>
                    <a:blip r:embed="rId11" cstate="print"/>
                    <a:srcRect/>
                    <a:stretch>
                      <a:fillRect/>
                    </a:stretch>
                  </pic:blipFill>
                  <pic:spPr>
                    <a:xfrm>
                      <a:off x="0" y="0"/>
                      <a:ext cx="3505200" cy="3238500"/>
                    </a:xfrm>
                    <a:prstGeom prst="rect">
                      <a:avLst/>
                    </a:prstGeom>
                    <a:ln>
                      <a:noFill/>
                    </a:ln>
                  </pic:spPr>
                </pic:pic>
              </a:graphicData>
            </a:graphic>
          </wp:inline>
        </w:drawing>
      </w:r>
    </w:p>
    <w:p w:rsidR="0054548D" w:rsidRDefault="00681864">
      <w:pPr>
        <w:ind w:firstLineChars="200" w:firstLine="420"/>
        <w:rPr>
          <w:rFonts w:ascii="微软雅黑" w:eastAsia="微软雅黑" w:hAnsi="微软雅黑" w:cs="微软雅黑"/>
          <w:b/>
          <w:bCs/>
          <w:szCs w:val="21"/>
        </w:rPr>
      </w:pPr>
      <w:r>
        <w:rPr>
          <w:rFonts w:ascii="微软雅黑" w:eastAsia="微软雅黑" w:hAnsi="微软雅黑" w:cs="微软雅黑" w:hint="eastAsia"/>
          <w:b/>
          <w:bCs/>
          <w:szCs w:val="21"/>
        </w:rPr>
        <w:lastRenderedPageBreak/>
        <w:t>就业黄金发展</w:t>
      </w:r>
    </w:p>
    <w:p w:rsidR="0054548D" w:rsidRDefault="00681864">
      <w:pPr>
        <w:ind w:firstLineChars="200" w:firstLine="420"/>
        <w:rPr>
          <w:rFonts w:ascii="微软雅黑" w:eastAsia="微软雅黑" w:hAnsi="微软雅黑" w:cs="微软雅黑"/>
          <w:szCs w:val="21"/>
        </w:rPr>
      </w:pPr>
      <w:r>
        <w:rPr>
          <w:rFonts w:ascii="微软雅黑" w:eastAsia="微软雅黑" w:hAnsi="微软雅黑" w:cs="微软雅黑" w:hint="eastAsia"/>
          <w:szCs w:val="21"/>
        </w:rPr>
        <w:t>CPA知识</w:t>
      </w:r>
      <w:proofErr w:type="gramStart"/>
      <w:r>
        <w:rPr>
          <w:rFonts w:ascii="微软雅黑" w:eastAsia="微软雅黑" w:hAnsi="微软雅黑" w:cs="微软雅黑" w:hint="eastAsia"/>
          <w:szCs w:val="21"/>
        </w:rPr>
        <w:t>全涉及广</w:t>
      </w:r>
      <w:proofErr w:type="gramEnd"/>
      <w:r>
        <w:rPr>
          <w:rFonts w:ascii="微软雅黑" w:eastAsia="微软雅黑" w:hAnsi="微软雅黑" w:cs="微软雅黑" w:hint="eastAsia"/>
          <w:szCs w:val="21"/>
        </w:rPr>
        <w:t>，覆盖财务、金融专业知识和业务等技能，就业</w:t>
      </w:r>
      <w:proofErr w:type="gramStart"/>
      <w:r>
        <w:rPr>
          <w:rFonts w:ascii="微软雅黑" w:eastAsia="微软雅黑" w:hAnsi="微软雅黑" w:cs="微软雅黑" w:hint="eastAsia"/>
          <w:szCs w:val="21"/>
        </w:rPr>
        <w:t>专范围</w:t>
      </w:r>
      <w:proofErr w:type="gramEnd"/>
      <w:r>
        <w:rPr>
          <w:rFonts w:ascii="微软雅黑" w:eastAsia="微软雅黑" w:hAnsi="微软雅黑" w:cs="微软雅黑" w:hint="eastAsia"/>
          <w:szCs w:val="21"/>
        </w:rPr>
        <w:t>广：包括以“四大”为代表的国际会计师事务所和内资会计师事务所；世界500强企业和国有大中型企业；银行业（投资银行、商业银行）和咨询业以及证券业等。</w:t>
      </w:r>
    </w:p>
    <w:p w:rsidR="0054548D" w:rsidRDefault="00681864">
      <w:pPr>
        <w:ind w:firstLineChars="200" w:firstLine="420"/>
        <w:rPr>
          <w:rFonts w:ascii="微软雅黑" w:eastAsia="微软雅黑" w:hAnsi="微软雅黑" w:cs="微软雅黑"/>
          <w:szCs w:val="21"/>
        </w:rPr>
      </w:pPr>
      <w:r>
        <w:rPr>
          <w:noProof/>
        </w:rPr>
        <w:drawing>
          <wp:inline distT="0" distB="0" distL="0" distR="0">
            <wp:extent cx="5268595" cy="1957070"/>
            <wp:effectExtent l="0" t="0" r="8255" b="4445"/>
            <wp:docPr id="1033" name="图片 5"/>
            <wp:cNvGraphicFramePr/>
            <a:graphic xmlns:a="http://schemas.openxmlformats.org/drawingml/2006/main">
              <a:graphicData uri="http://schemas.openxmlformats.org/drawingml/2006/picture">
                <pic:pic xmlns:pic="http://schemas.openxmlformats.org/drawingml/2006/picture">
                  <pic:nvPicPr>
                    <pic:cNvPr id="1033" name="图片 5"/>
                    <pic:cNvPicPr/>
                  </pic:nvPicPr>
                  <pic:blipFill>
                    <a:blip r:embed="rId12" cstate="print"/>
                    <a:srcRect/>
                    <a:stretch>
                      <a:fillRect/>
                    </a:stretch>
                  </pic:blipFill>
                  <pic:spPr>
                    <a:xfrm>
                      <a:off x="0" y="0"/>
                      <a:ext cx="5268595" cy="1957704"/>
                    </a:xfrm>
                    <a:prstGeom prst="rect">
                      <a:avLst/>
                    </a:prstGeom>
                    <a:ln>
                      <a:noFill/>
                    </a:ln>
                  </pic:spPr>
                </pic:pic>
              </a:graphicData>
            </a:graphic>
          </wp:inline>
        </w:drawing>
      </w:r>
    </w:p>
    <w:p w:rsidR="0054548D" w:rsidRDefault="0054548D">
      <w:pPr>
        <w:spacing w:line="360" w:lineRule="auto"/>
        <w:ind w:firstLineChars="200" w:firstLine="420"/>
        <w:rPr>
          <w:rFonts w:ascii="微软雅黑" w:eastAsia="微软雅黑" w:hAnsi="微软雅黑" w:cs="微软雅黑"/>
          <w:b/>
          <w:bCs/>
          <w:color w:val="000000"/>
        </w:rPr>
      </w:pPr>
    </w:p>
    <w:p w:rsidR="0054548D" w:rsidRDefault="00681864">
      <w:pPr>
        <w:spacing w:line="360" w:lineRule="auto"/>
        <w:ind w:firstLineChars="200" w:firstLine="420"/>
        <w:rPr>
          <w:rFonts w:ascii="微软雅黑" w:eastAsia="微软雅黑" w:hAnsi="微软雅黑" w:cs="微软雅黑"/>
          <w:color w:val="000000"/>
        </w:rPr>
      </w:pPr>
      <w:r>
        <w:rPr>
          <w:rFonts w:ascii="微软雅黑" w:eastAsia="微软雅黑" w:hAnsi="微软雅黑" w:cs="微软雅黑"/>
          <w:color w:val="000000"/>
        </w:rPr>
        <w:t>考试科目</w:t>
      </w:r>
      <w:r>
        <w:rPr>
          <w:rFonts w:ascii="微软雅黑" w:eastAsia="微软雅黑" w:hAnsi="微软雅黑" w:cs="微软雅黑" w:hint="eastAsia"/>
          <w:color w:val="000000"/>
        </w:rPr>
        <w:t>：</w:t>
      </w:r>
      <w:r>
        <w:rPr>
          <w:rFonts w:ascii="微软雅黑" w:eastAsia="微软雅黑" w:hAnsi="微软雅黑" w:cs="微软雅黑"/>
          <w:color w:val="000000"/>
        </w:rPr>
        <w:t>分为专业阶段和综合阶段。考试方式为闭卷，无纸化机考。</w:t>
      </w:r>
    </w:p>
    <w:p w:rsidR="0054548D" w:rsidRDefault="00681864">
      <w:pPr>
        <w:rPr>
          <w:rFonts w:ascii="微软雅黑" w:eastAsia="微软雅黑" w:hAnsi="微软雅黑" w:cs="微软雅黑"/>
          <w:szCs w:val="21"/>
        </w:rPr>
      </w:pPr>
      <w:r>
        <w:rPr>
          <w:rFonts w:ascii="微软雅黑" w:eastAsia="微软雅黑" w:hAnsi="微软雅黑" w:cs="微软雅黑" w:hint="eastAsia"/>
          <w:noProof/>
          <w:szCs w:val="21"/>
        </w:rPr>
        <w:drawing>
          <wp:inline distT="0" distB="0" distL="0" distR="0">
            <wp:extent cx="5270500" cy="2875915"/>
            <wp:effectExtent l="0" t="0" r="6350" b="635"/>
            <wp:docPr id="1034" name="图片 9"/>
            <wp:cNvGraphicFramePr/>
            <a:graphic xmlns:a="http://schemas.openxmlformats.org/drawingml/2006/main">
              <a:graphicData uri="http://schemas.openxmlformats.org/drawingml/2006/picture">
                <pic:pic xmlns:pic="http://schemas.openxmlformats.org/drawingml/2006/picture">
                  <pic:nvPicPr>
                    <pic:cNvPr id="1034" name="图片 9"/>
                    <pic:cNvPicPr/>
                  </pic:nvPicPr>
                  <pic:blipFill>
                    <a:blip r:embed="rId13" cstate="print"/>
                    <a:srcRect/>
                    <a:stretch>
                      <a:fillRect/>
                    </a:stretch>
                  </pic:blipFill>
                  <pic:spPr>
                    <a:xfrm>
                      <a:off x="0" y="0"/>
                      <a:ext cx="5270500" cy="2875915"/>
                    </a:xfrm>
                    <a:prstGeom prst="rect">
                      <a:avLst/>
                    </a:prstGeom>
                    <a:ln>
                      <a:noFill/>
                    </a:ln>
                  </pic:spPr>
                </pic:pic>
              </a:graphicData>
            </a:graphic>
          </wp:inline>
        </w:drawing>
      </w:r>
    </w:p>
    <w:p w:rsidR="0054548D" w:rsidRDefault="0054548D">
      <w:pPr>
        <w:rPr>
          <w:rFonts w:ascii="微软雅黑" w:eastAsia="微软雅黑" w:hAnsi="微软雅黑" w:cs="微软雅黑"/>
          <w:szCs w:val="21"/>
        </w:rPr>
      </w:pPr>
    </w:p>
    <w:p w:rsidR="0054548D" w:rsidRDefault="00681864">
      <w:pPr>
        <w:spacing w:line="360" w:lineRule="auto"/>
        <w:rPr>
          <w:rFonts w:ascii="微软雅黑" w:eastAsia="微软雅黑" w:hAnsi="微软雅黑" w:cs="微软雅黑"/>
          <w:b/>
          <w:bCs/>
          <w:color w:val="000000"/>
        </w:rPr>
      </w:pPr>
      <w:r>
        <w:rPr>
          <w:rFonts w:ascii="微软雅黑" w:eastAsia="微软雅黑" w:hAnsi="微软雅黑" w:cs="微软雅黑" w:hint="eastAsia"/>
          <w:b/>
          <w:bCs/>
          <w:noProof/>
          <w:color w:val="000000"/>
        </w:rPr>
        <w:lastRenderedPageBreak/>
        <w:drawing>
          <wp:inline distT="0" distB="0" distL="114300" distR="114300">
            <wp:extent cx="5266690" cy="2433320"/>
            <wp:effectExtent l="0" t="0" r="10160" b="5080"/>
            <wp:docPr id="1" name="图片 1" descr="54278c6ffd6456a858821ce4d1dba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4278c6ffd6456a858821ce4d1dbad1"/>
                    <pic:cNvPicPr>
                      <a:picLocks noChangeAspect="1"/>
                    </pic:cNvPicPr>
                  </pic:nvPicPr>
                  <pic:blipFill>
                    <a:blip r:embed="rId14"/>
                    <a:stretch>
                      <a:fillRect/>
                    </a:stretch>
                  </pic:blipFill>
                  <pic:spPr>
                    <a:xfrm>
                      <a:off x="0" y="0"/>
                      <a:ext cx="5266690" cy="2433320"/>
                    </a:xfrm>
                    <a:prstGeom prst="rect">
                      <a:avLst/>
                    </a:prstGeom>
                  </pic:spPr>
                </pic:pic>
              </a:graphicData>
            </a:graphic>
          </wp:inline>
        </w:drawing>
      </w:r>
    </w:p>
    <w:p w:rsidR="0054548D" w:rsidRDefault="00681864">
      <w:pPr>
        <w:spacing w:line="360" w:lineRule="auto"/>
        <w:rPr>
          <w:rFonts w:ascii="微软雅黑" w:eastAsia="微软雅黑" w:hAnsi="微软雅黑" w:cs="微软雅黑"/>
          <w:color w:val="000000"/>
        </w:rPr>
      </w:pPr>
      <w:r>
        <w:rPr>
          <w:noProof/>
        </w:rPr>
        <w:drawing>
          <wp:inline distT="0" distB="0" distL="114300" distR="114300">
            <wp:extent cx="5269865" cy="3107055"/>
            <wp:effectExtent l="0" t="0" r="6985" b="171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5269865" cy="3107055"/>
                    </a:xfrm>
                    <a:prstGeom prst="rect">
                      <a:avLst/>
                    </a:prstGeom>
                    <a:noFill/>
                    <a:ln>
                      <a:noFill/>
                    </a:ln>
                  </pic:spPr>
                </pic:pic>
              </a:graphicData>
            </a:graphic>
          </wp:inline>
        </w:drawing>
      </w:r>
    </w:p>
    <w:sectPr w:rsidR="005454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48D"/>
    <w:rsid w:val="00324FB3"/>
    <w:rsid w:val="0054548D"/>
    <w:rsid w:val="00681864"/>
    <w:rsid w:val="00BE6C44"/>
    <w:rsid w:val="00C708A5"/>
    <w:rsid w:val="2DF91E31"/>
    <w:rsid w:val="6F4D0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F87778"/>
  <w15:docId w15:val="{A8E55486-EF6C-43B0-B346-542F39EC0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329</Words>
  <Characters>1879</Characters>
  <Application>Microsoft Office Word</Application>
  <DocSecurity>0</DocSecurity>
  <Lines>15</Lines>
  <Paragraphs>4</Paragraphs>
  <ScaleCrop>false</ScaleCrop>
  <Company>China</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李子</dc:creator>
  <cp:lastModifiedBy>User</cp:lastModifiedBy>
  <cp:revision>6</cp:revision>
  <dcterms:created xsi:type="dcterms:W3CDTF">2020-07-21T04:19:00Z</dcterms:created>
  <dcterms:modified xsi:type="dcterms:W3CDTF">2020-09-21T07:30:00Z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