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pacing w:before="156" w:beforeLines="50" w:after="156" w:afterLines="50" w:line="480" w:lineRule="exact"/>
        <w:ind w:firstLine="0" w:firstLineChars="0"/>
        <w:jc w:val="center"/>
        <w:rPr>
          <w:rFonts w:asciiTheme="minorEastAsia" w:hAnsiTheme="minorEastAsia"/>
          <w:b/>
          <w:color w:val="000000"/>
          <w:sz w:val="30"/>
          <w:szCs w:val="30"/>
        </w:rPr>
      </w:pPr>
      <w:r>
        <w:rPr>
          <w:rFonts w:hint="eastAsia" w:asciiTheme="minorEastAsia" w:hAnsiTheme="minorEastAsia"/>
          <w:b/>
          <w:color w:val="000000"/>
          <w:sz w:val="30"/>
          <w:szCs w:val="30"/>
        </w:rPr>
        <w:t>2023年度个人述职述德述廉报告</w:t>
      </w:r>
    </w:p>
    <w:p>
      <w:pPr>
        <w:pStyle w:val="11"/>
        <w:widowControl/>
        <w:spacing w:before="156" w:beforeLines="50" w:after="156" w:afterLines="50" w:line="480" w:lineRule="exact"/>
        <w:ind w:firstLine="0" w:firstLineChars="0"/>
        <w:jc w:val="center"/>
        <w:rPr>
          <w:rFonts w:asciiTheme="minorEastAsia" w:hAnsiTheme="minorEastAsia"/>
          <w:color w:val="000000"/>
          <w:sz w:val="24"/>
          <w:szCs w:val="24"/>
        </w:rPr>
      </w:pPr>
      <w:r>
        <w:rPr>
          <w:rFonts w:hint="eastAsia" w:asciiTheme="minorEastAsia" w:hAnsiTheme="minorEastAsia"/>
          <w:color w:val="000000"/>
          <w:sz w:val="24"/>
          <w:szCs w:val="24"/>
        </w:rPr>
        <w:t>会计学院：徐诗举</w:t>
      </w:r>
    </w:p>
    <w:p>
      <w:pPr>
        <w:widowControl/>
        <w:numPr>
          <w:ilvl w:val="0"/>
          <w:numId w:val="1"/>
        </w:numPr>
        <w:spacing w:line="480" w:lineRule="exact"/>
        <w:ind w:left="0" w:firstLine="562" w:firstLineChars="200"/>
        <w:rPr>
          <w:rFonts w:cs="Times New Roman" w:asciiTheme="minorEastAsia" w:hAnsiTheme="minorEastAsia"/>
          <w:b/>
          <w:color w:val="000000"/>
          <w:sz w:val="28"/>
          <w:szCs w:val="28"/>
        </w:rPr>
      </w:pPr>
      <w:r>
        <w:rPr>
          <w:rFonts w:hint="eastAsia" w:cs="Times New Roman" w:asciiTheme="minorEastAsia" w:hAnsiTheme="minorEastAsia"/>
          <w:b/>
          <w:color w:val="000000"/>
          <w:sz w:val="28"/>
          <w:szCs w:val="28"/>
        </w:rPr>
        <w:t>过去一年工作的整体情况</w:t>
      </w:r>
    </w:p>
    <w:p>
      <w:pPr>
        <w:widowControl/>
        <w:spacing w:line="48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2023年在学校党委和行政的正确领导下，我严守政治纪律，注重廉洁自律，坚持立德树人，认真对标对表高水平大学建设、硕士学位点立项建设以及审核评估要求，主要开展以下工作：</w:t>
      </w:r>
    </w:p>
    <w:p>
      <w:pPr>
        <w:spacing w:line="48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1.大力推进硕士点申报工作，会计专硕被学校遴选为申请硕士学位授予单位重点立项建设的三个学位点之一。严格对照会计专业硕士授权点立项基本条件的4个一级指标和9个二级指标，撰写了《会计硕士专业学位点重点立项建设方案》，经过专家论证，我院会计专硕被学校遴选为申请硕士学位授予单位重点立项建设的三个学位点之一。</w:t>
      </w:r>
    </w:p>
    <w:p>
      <w:pPr>
        <w:spacing w:line="48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2.狠抓师资队伍建设，教师学历、职称结构进一步优化。针对全国范围内会计专业高层次人才严重短缺的严峻现实问题，认真落实《会计</w:t>
      </w:r>
      <w:r>
        <w:rPr>
          <w:rFonts w:cs="Times New Roman" w:asciiTheme="minorEastAsia" w:hAnsiTheme="minorEastAsia"/>
          <w:color w:val="000000"/>
          <w:sz w:val="28"/>
          <w:szCs w:val="28"/>
        </w:rPr>
        <w:t>学院引进高层次人才配套</w:t>
      </w:r>
      <w:r>
        <w:rPr>
          <w:rFonts w:hint="eastAsia" w:cs="Times New Roman" w:asciiTheme="minorEastAsia" w:hAnsiTheme="minorEastAsia"/>
          <w:color w:val="000000"/>
          <w:sz w:val="28"/>
          <w:szCs w:val="28"/>
        </w:rPr>
        <w:t>安家费实施办法》，全年引进3位会计专业博士，其中拔尖人才1人，青年英才（第一层次）2人，王玮博士（教授）是省级教学名师和省级教坛新秀，李佳博士引进当年以铜陵学院为第一单位发表SCI论文（二区）1篇、CSSCI论文1篇。在职培养博士1名，已经学成回校报到。高度重视教师职称优化与提升，2023年我院教师2人晋升教授，2人晋升副教授，5人晋升讲师，4人认定助教。目前我院有博士18人，教授9人，正高级会计师2人，副教授12人，为会计专业硕士点立项建设提供了有力支撑。</w:t>
      </w:r>
    </w:p>
    <w:p>
      <w:pPr>
        <w:overflowPunct w:val="0"/>
        <w:spacing w:line="48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3.高度重视教研科研工作，教师教研科研能力进一步提升。积极采取措施，加强产学研合作，全院获得横向科研到账经费300多万元，完成学校下达科研到账经费目标任务的219%。2023年学院教师共发表科研论文48篇；出版专著1部，省级一流教材1部，获得国际专利1项；1个教学案例获得2023年全国资产评估业务案例大赛全国二等奖；2篇科研论文分别获得安徽省社科界第十八届学术年会论文一等奖、二等奖，1篇论文获得民建安徽省委会优秀理论研究成果评选一等奖，1篇论文获得第十八届中国资产评估教育论坛征文比赛优秀奖；获得成果转化2项，分别被市领导批示和市相关部门采纳；被推荐2023年省级质量工程项目8项；举办以“数智时代的会计”为主题的学术讲座，同时承办以“重构与创新：数智时代会计教育教学改革”为主题的研讨会。</w:t>
      </w:r>
    </w:p>
    <w:p>
      <w:pPr>
        <w:spacing w:line="480" w:lineRule="exact"/>
        <w:ind w:firstLine="560" w:firstLineChars="200"/>
        <w:rPr>
          <w:rFonts w:hint="eastAsia" w:cs="Times New Roman" w:asciiTheme="minorEastAsia" w:hAnsiTheme="minorEastAsia"/>
          <w:color w:val="000000"/>
          <w:sz w:val="28"/>
          <w:szCs w:val="28"/>
        </w:rPr>
      </w:pPr>
      <w:r>
        <w:rPr>
          <w:rFonts w:hint="eastAsia" w:cs="Times New Roman" w:asciiTheme="minorEastAsia" w:hAnsiTheme="minorEastAsia"/>
          <w:color w:val="000000"/>
          <w:sz w:val="28"/>
          <w:szCs w:val="28"/>
        </w:rPr>
        <w:t>4.着力加强教学科研平台建设，工商管理学科高峰培育学科顺利通过验收。在全省高峰学科难度检查中，我校安徽省应用型高峰培育学科——工商管理学科绩效评价指标折合得分45.95，合作单位满意度得分24.81,支持经费到账情况附加分1,总分71.76，在全省多项指标得分靠前。</w:t>
      </w:r>
    </w:p>
    <w:p>
      <w:pPr>
        <w:spacing w:line="48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5.持续加强学科专业建设，国家一流专业、一流课程建设取得成效。持续加强会计学国家级一流专业建设，在已经获批《会计学基础》国家级一流课程的基础上，继续申报国家级一流课程，目前《财务管理学》已经被安徽省推荐参加国家级一流课程评选。</w:t>
      </w:r>
    </w:p>
    <w:p>
      <w:pPr>
        <w:spacing w:line="480" w:lineRule="exact"/>
        <w:ind w:firstLine="560" w:firstLineChars="200"/>
        <w:rPr>
          <w:rFonts w:cs="仿宋" w:asciiTheme="minorEastAsia" w:hAnsiTheme="minorEastAsia"/>
          <w:sz w:val="28"/>
          <w:szCs w:val="28"/>
        </w:rPr>
      </w:pPr>
      <w:r>
        <w:rPr>
          <w:rFonts w:hint="eastAsia" w:cs="仿宋" w:asciiTheme="minorEastAsia" w:hAnsiTheme="minorEastAsia"/>
          <w:sz w:val="28"/>
          <w:szCs w:val="28"/>
        </w:rPr>
        <w:t>6.高度重视应用型人才培养，人才培养质量显著提升。2023年承办了第七届安徽省大学生财会技能创新大赛，全省56所高校的109支队伍、650余名师生参加，参赛人数再创新高。经过激烈角逐，我院代表队获得一等奖2个（分别为第1名1个、第3名1个）、三等奖1个的优异成绩，至此，我院学子已连续七届包揽该项赛事本科组的第一名；组织师生参加2023年安徽省大学生创新创业ERP管理大赛，我校共5支队伍参赛，其中我院代表队获得一等奖1项、三等奖2项的佳绩；2023年会计学院学生获批大学生创新创业省级立项42项，国家级立项8项。</w:t>
      </w:r>
    </w:p>
    <w:p>
      <w:pPr>
        <w:spacing w:line="480" w:lineRule="exact"/>
        <w:ind w:firstLine="560" w:firstLineChars="200"/>
        <w:rPr>
          <w:rFonts w:cs="仿宋" w:asciiTheme="minorEastAsia" w:hAnsiTheme="minorEastAsia"/>
          <w:kern w:val="0"/>
          <w:sz w:val="28"/>
          <w:szCs w:val="28"/>
        </w:rPr>
      </w:pPr>
      <w:r>
        <w:rPr>
          <w:rFonts w:hint="eastAsia" w:cs="仿宋" w:asciiTheme="minorEastAsia" w:hAnsiTheme="minorEastAsia"/>
          <w:sz w:val="28"/>
          <w:szCs w:val="28"/>
        </w:rPr>
        <w:t>7.加强</w:t>
      </w:r>
      <w:r>
        <w:rPr>
          <w:rFonts w:hint="eastAsia" w:cs="仿宋" w:asciiTheme="minorEastAsia" w:hAnsiTheme="minorEastAsia"/>
          <w:bCs/>
          <w:sz w:val="28"/>
          <w:szCs w:val="28"/>
        </w:rPr>
        <w:t>教学基本档案管理</w:t>
      </w:r>
      <w:r>
        <w:rPr>
          <w:rFonts w:hint="eastAsia" w:cs="仿宋" w:asciiTheme="minorEastAsia" w:hAnsiTheme="minorEastAsia"/>
          <w:sz w:val="28"/>
          <w:szCs w:val="28"/>
        </w:rPr>
        <w:t>，做好迎评促建工作。</w:t>
      </w:r>
      <w:r>
        <w:rPr>
          <w:rFonts w:hint="eastAsia" w:cs="仿宋" w:asciiTheme="minorEastAsia" w:hAnsiTheme="minorEastAsia"/>
          <w:bCs/>
          <w:sz w:val="28"/>
          <w:szCs w:val="28"/>
        </w:rPr>
        <w:t>学院</w:t>
      </w:r>
      <w:r>
        <w:rPr>
          <w:rFonts w:hint="eastAsia" w:cs="仿宋" w:asciiTheme="minorEastAsia" w:hAnsiTheme="minorEastAsia"/>
          <w:sz w:val="28"/>
          <w:szCs w:val="28"/>
        </w:rPr>
        <w:t>连续召开4次党委会和党政联席会，详细解读审核评估任务分解书，不断细化每条任务，并将具体工作任务分解相关负责人，为迎接审核评估，学院单独设置了资料室以及专用电脑，用以存放审核评估纸质资料和电子资料；本科毕业论文工作管理进一步规范，认真开展毕业论文(设计)专项检查，对出现问题，逐一联系论文指导老师，要求整改；加强对教学过程有效监控，严格落实“三期”教学检查，进一步强化教师责任意识，提高课题教学质量。</w:t>
      </w:r>
    </w:p>
    <w:p>
      <w:pPr>
        <w:widowControl/>
        <w:spacing w:line="48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8.在抓好管理工作同时，认真做好个人教学科研工作。承担了2个班的授课任务；指导5篇本科论文、1篇联合培养研究生硕士论文，获批省级教学研究重大项目《新高考方案对地方应用型本科高校招生的影响与对策研究》，主持完成市软课题委托项目《关于优化铜陵税收营商环境问题研究》，课题研究报告先后获得铜陵市常务副市长何田、副市长杨如松的肯定性批示，并在铜陵日报理论版发表，获得科研到账经费3万元。</w:t>
      </w:r>
    </w:p>
    <w:p>
      <w:pPr>
        <w:widowControl/>
        <w:spacing w:line="480" w:lineRule="exact"/>
        <w:ind w:firstLine="562" w:firstLineChars="200"/>
        <w:rPr>
          <w:rFonts w:cs="Times New Roman" w:asciiTheme="minorEastAsia" w:hAnsiTheme="minorEastAsia"/>
          <w:b/>
          <w:color w:val="000000"/>
          <w:sz w:val="28"/>
          <w:szCs w:val="28"/>
        </w:rPr>
      </w:pPr>
      <w:r>
        <w:rPr>
          <w:rFonts w:cs="Times New Roman" w:asciiTheme="minorEastAsia" w:hAnsiTheme="minorEastAsia"/>
          <w:b/>
          <w:color w:val="000000"/>
          <w:sz w:val="28"/>
          <w:szCs w:val="28"/>
        </w:rPr>
        <w:t>二、</w:t>
      </w:r>
      <w:r>
        <w:rPr>
          <w:rFonts w:hint="eastAsia" w:cs="Times New Roman" w:asciiTheme="minorEastAsia" w:hAnsiTheme="minorEastAsia"/>
          <w:b/>
          <w:color w:val="000000"/>
          <w:sz w:val="28"/>
          <w:szCs w:val="28"/>
        </w:rPr>
        <w:t>工作中存在的不足与下一步打算</w:t>
      </w:r>
    </w:p>
    <w:p>
      <w:pPr>
        <w:widowControl/>
        <w:spacing w:line="48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1.由于全国会计专业博士点很少，引进高层次人才非常困难，尽管我们做出了很大努力，但是距离硕士点申报、地方应用型高水平大学建设的要求还存在差距。我们要注重调动广大教师的积极性，鼓励大家走出去，广泛宣传学校、学院和铜陵市的高层次人才引进政策，力争高质量完成2024年高层次人才引进计划。</w:t>
      </w:r>
    </w:p>
    <w:p>
      <w:pPr>
        <w:widowControl/>
        <w:spacing w:line="480" w:lineRule="exact"/>
        <w:ind w:firstLine="560" w:firstLineChars="200"/>
        <w:rPr>
          <w:rFonts w:cs="Times New Roman" w:asciiTheme="minorEastAsia" w:hAnsiTheme="minorEastAsia"/>
          <w:sz w:val="28"/>
          <w:szCs w:val="28"/>
        </w:rPr>
      </w:pPr>
      <w:r>
        <w:rPr>
          <w:rFonts w:hint="eastAsia" w:cs="Times New Roman" w:asciiTheme="minorEastAsia" w:hAnsiTheme="minorEastAsia"/>
          <w:color w:val="000000"/>
          <w:sz w:val="28"/>
          <w:szCs w:val="28"/>
        </w:rPr>
        <w:t>2.审核评估工作时间紧、任务重，会计学院各个专业师生比都较大，</w:t>
      </w:r>
      <w:bookmarkStart w:id="0" w:name="_GoBack"/>
      <w:bookmarkEnd w:id="0"/>
      <w:r>
        <w:rPr>
          <w:rFonts w:cs="Times New Roman" w:asciiTheme="minorEastAsia" w:hAnsiTheme="minorEastAsia"/>
          <w:sz w:val="28"/>
          <w:szCs w:val="28"/>
        </w:rPr>
        <w:t>下一步要做好外</w:t>
      </w:r>
      <w:r>
        <w:rPr>
          <w:rFonts w:hint="eastAsia" w:cs="Times New Roman" w:asciiTheme="minorEastAsia" w:hAnsiTheme="minorEastAsia"/>
          <w:sz w:val="28"/>
          <w:szCs w:val="28"/>
        </w:rPr>
        <w:t>聘</w:t>
      </w:r>
      <w:r>
        <w:rPr>
          <w:rFonts w:cs="Times New Roman" w:asciiTheme="minorEastAsia" w:hAnsiTheme="minorEastAsia"/>
          <w:sz w:val="28"/>
          <w:szCs w:val="28"/>
        </w:rPr>
        <w:t>教师工作，力争各个专业师生比指标满足审核评估要求。</w:t>
      </w:r>
    </w:p>
    <w:p>
      <w:pPr>
        <w:pStyle w:val="11"/>
        <w:widowControl/>
        <w:spacing w:line="480" w:lineRule="exact"/>
        <w:ind w:firstLine="560"/>
        <w:rPr>
          <w:rFonts w:asciiTheme="minorEastAsia" w:hAnsiTheme="minorEastAsia"/>
          <w:color w:val="000000"/>
          <w:sz w:val="28"/>
          <w:szCs w:val="28"/>
        </w:rPr>
      </w:pPr>
      <w:r>
        <w:rPr>
          <w:rFonts w:hint="eastAsia" w:cs="Times New Roman" w:asciiTheme="minorEastAsia" w:hAnsiTheme="minorEastAsia"/>
          <w:sz w:val="28"/>
          <w:szCs w:val="28"/>
        </w:rPr>
        <w:t>3.由于岗位性质与专业特点不同，各个实习基地可以容纳会计、财务、审计等专业学生实习人数有限，导致学生实习单位和地点比较分散，下一步要重点做好实习基地遴选和建设，进一步提高实习基地利用率。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941FE"/>
    <w:multiLevelType w:val="multilevel"/>
    <w:tmpl w:val="172941FE"/>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MmVlMzRhZDJjZmIzOWM3OWEyZjYxNjE4MjFjZWIifQ=="/>
  </w:docVars>
  <w:rsids>
    <w:rsidRoot w:val="00480E9A"/>
    <w:rsid w:val="000073B1"/>
    <w:rsid w:val="0002255B"/>
    <w:rsid w:val="00035A35"/>
    <w:rsid w:val="00063165"/>
    <w:rsid w:val="00072F7F"/>
    <w:rsid w:val="000A2216"/>
    <w:rsid w:val="000A4532"/>
    <w:rsid w:val="000C4714"/>
    <w:rsid w:val="000C6457"/>
    <w:rsid w:val="000D5766"/>
    <w:rsid w:val="000D597B"/>
    <w:rsid w:val="00122EC8"/>
    <w:rsid w:val="001904B6"/>
    <w:rsid w:val="001A313F"/>
    <w:rsid w:val="001B2025"/>
    <w:rsid w:val="001D6388"/>
    <w:rsid w:val="001E7002"/>
    <w:rsid w:val="00215AA9"/>
    <w:rsid w:val="00225DF1"/>
    <w:rsid w:val="002954AA"/>
    <w:rsid w:val="002974D6"/>
    <w:rsid w:val="002C01EB"/>
    <w:rsid w:val="002D22C3"/>
    <w:rsid w:val="00336F5C"/>
    <w:rsid w:val="003A012F"/>
    <w:rsid w:val="00480E9A"/>
    <w:rsid w:val="004A529E"/>
    <w:rsid w:val="004B0A96"/>
    <w:rsid w:val="004C41CD"/>
    <w:rsid w:val="00521AB2"/>
    <w:rsid w:val="00524D6C"/>
    <w:rsid w:val="005514C3"/>
    <w:rsid w:val="00552DD6"/>
    <w:rsid w:val="00562AA2"/>
    <w:rsid w:val="00565343"/>
    <w:rsid w:val="00592865"/>
    <w:rsid w:val="005B7C44"/>
    <w:rsid w:val="005C1445"/>
    <w:rsid w:val="005E6D64"/>
    <w:rsid w:val="00600EBB"/>
    <w:rsid w:val="00615DAD"/>
    <w:rsid w:val="006531BF"/>
    <w:rsid w:val="00661929"/>
    <w:rsid w:val="0066302E"/>
    <w:rsid w:val="00665460"/>
    <w:rsid w:val="006872F8"/>
    <w:rsid w:val="006B7FAC"/>
    <w:rsid w:val="006D2DC6"/>
    <w:rsid w:val="006E1CC0"/>
    <w:rsid w:val="006F7C59"/>
    <w:rsid w:val="0071690F"/>
    <w:rsid w:val="00755283"/>
    <w:rsid w:val="007655E3"/>
    <w:rsid w:val="00767FF9"/>
    <w:rsid w:val="007850B1"/>
    <w:rsid w:val="007D5CD2"/>
    <w:rsid w:val="0080406F"/>
    <w:rsid w:val="00827003"/>
    <w:rsid w:val="00847838"/>
    <w:rsid w:val="008535A5"/>
    <w:rsid w:val="00856D94"/>
    <w:rsid w:val="0086148D"/>
    <w:rsid w:val="00864367"/>
    <w:rsid w:val="0086627C"/>
    <w:rsid w:val="008731E7"/>
    <w:rsid w:val="008949F1"/>
    <w:rsid w:val="008B3241"/>
    <w:rsid w:val="008F3475"/>
    <w:rsid w:val="00902D59"/>
    <w:rsid w:val="00964B7E"/>
    <w:rsid w:val="009A2124"/>
    <w:rsid w:val="009D083A"/>
    <w:rsid w:val="009E1FA0"/>
    <w:rsid w:val="009F4389"/>
    <w:rsid w:val="00A0096E"/>
    <w:rsid w:val="00A15CB8"/>
    <w:rsid w:val="00A335B1"/>
    <w:rsid w:val="00A37DB0"/>
    <w:rsid w:val="00A41F92"/>
    <w:rsid w:val="00A44E81"/>
    <w:rsid w:val="00A566C9"/>
    <w:rsid w:val="00A97709"/>
    <w:rsid w:val="00AC4DE7"/>
    <w:rsid w:val="00AF729E"/>
    <w:rsid w:val="00B033C7"/>
    <w:rsid w:val="00B849F0"/>
    <w:rsid w:val="00BB1162"/>
    <w:rsid w:val="00BC0AB5"/>
    <w:rsid w:val="00BC1677"/>
    <w:rsid w:val="00BD314F"/>
    <w:rsid w:val="00BF16BE"/>
    <w:rsid w:val="00C07B87"/>
    <w:rsid w:val="00C7413E"/>
    <w:rsid w:val="00CB79DD"/>
    <w:rsid w:val="00CE1011"/>
    <w:rsid w:val="00D32E0D"/>
    <w:rsid w:val="00D36278"/>
    <w:rsid w:val="00D42036"/>
    <w:rsid w:val="00D87472"/>
    <w:rsid w:val="00D96BE7"/>
    <w:rsid w:val="00DF250F"/>
    <w:rsid w:val="00DF5A61"/>
    <w:rsid w:val="00E3258C"/>
    <w:rsid w:val="00E54C31"/>
    <w:rsid w:val="00E70D46"/>
    <w:rsid w:val="00E80E09"/>
    <w:rsid w:val="00EC2828"/>
    <w:rsid w:val="00ED4995"/>
    <w:rsid w:val="00F10162"/>
    <w:rsid w:val="00F211D6"/>
    <w:rsid w:val="00FE1007"/>
    <w:rsid w:val="00FF49D2"/>
    <w:rsid w:val="3C2D2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customStyle="1" w:styleId="9">
    <w:name w:val="页眉 Char"/>
    <w:basedOn w:val="7"/>
    <w:link w:val="5"/>
    <w:uiPriority w:val="99"/>
    <w:rPr>
      <w:sz w:val="18"/>
      <w:szCs w:val="18"/>
    </w:rPr>
  </w:style>
  <w:style w:type="character" w:customStyle="1" w:styleId="10">
    <w:name w:val="页脚 Char"/>
    <w:basedOn w:val="7"/>
    <w:link w:val="4"/>
    <w:uiPriority w:val="99"/>
    <w:rPr>
      <w:sz w:val="18"/>
      <w:szCs w:val="18"/>
    </w:rPr>
  </w:style>
  <w:style w:type="paragraph" w:styleId="11">
    <w:name w:val="List Paragraph"/>
    <w:basedOn w:val="1"/>
    <w:qFormat/>
    <w:uiPriority w:val="34"/>
    <w:pPr>
      <w:ind w:firstLine="420" w:firstLineChars="200"/>
    </w:pPr>
  </w:style>
  <w:style w:type="character" w:customStyle="1" w:styleId="12">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322</Words>
  <Characters>1842</Characters>
  <Lines>15</Lines>
  <Paragraphs>4</Paragraphs>
  <TotalTime>538</TotalTime>
  <ScaleCrop>false</ScaleCrop>
  <LinksUpToDate>false</LinksUpToDate>
  <CharactersWithSpaces>2160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2021-12-28T09:08:00Z</dcterms:created>
  <dc:creator>HP</dc:creator>
  <cp:lastModifiedBy>花开雨婷</cp:lastModifiedBy>
  <cp:lastPrinted>2022-01-04T08:07:00Z</cp:lastPrinted>
  <dcterms:modified xsi:type="dcterms:W3CDTF">2024-02-22T01:01:47Z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E2FB7FF7DB334B6181917F9CF23BDE1E_13</vt:lpwstr>
  </property>
</Properties>
</file>