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360" w:lineRule="auto"/>
        <w:ind w:left="0" w:right="0"/>
        <w:jc w:val="left"/>
      </w:pPr>
      <w:r>
        <w:rPr>
          <w:rStyle w:val="3"/>
          <w:rFonts w:hint="eastAsia" w:ascii="宋体" w:hAnsi="宋体" w:eastAsia="宋体" w:cs="宋体"/>
          <w:kern w:val="0"/>
          <w:sz w:val="21"/>
          <w:szCs w:val="21"/>
          <w:lang w:val="en-US" w:eastAsia="zh-CN" w:bidi="ar"/>
        </w:rPr>
        <w:t>1. 学习的内容上</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1"/>
          <w:szCs w:val="21"/>
          <w:lang w:val="en-US" w:eastAsia="zh-CN" w:bidi="ar"/>
        </w:rPr>
        <w:t>会计学（ACCA方向）班不仅包括普通会计班需要学习的会计理论知识，还需要学习与时俱进的国际会计准则、专业的财经英语知识以及与企业实际管理有关的财务报告及商务分析等。</w:t>
      </w:r>
    </w:p>
    <w:p>
      <w:pPr>
        <w:keepNext w:val="0"/>
        <w:keepLines w:val="0"/>
        <w:widowControl/>
        <w:suppressLineNumbers w:val="0"/>
        <w:spacing w:before="0" w:beforeAutospacing="1" w:after="0" w:afterAutospacing="1" w:line="360" w:lineRule="auto"/>
        <w:ind w:left="0" w:right="0"/>
        <w:jc w:val="left"/>
      </w:pPr>
      <w:r>
        <w:rPr>
          <w:rStyle w:val="3"/>
          <w:rFonts w:hint="eastAsia" w:ascii="宋体" w:hAnsi="宋体" w:eastAsia="宋体" w:cs="宋体"/>
          <w:kern w:val="0"/>
          <w:sz w:val="21"/>
          <w:szCs w:val="21"/>
          <w:lang w:val="en-US" w:eastAsia="zh-CN" w:bidi="ar"/>
        </w:rPr>
        <w:t>2. 授课老师来源</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1"/>
          <w:szCs w:val="21"/>
          <w:lang w:val="en-US" w:eastAsia="zh-CN" w:bidi="ar"/>
        </w:rPr>
        <w:t>(1)非会计学（ACCA方向）班的授课老师全部来自铜陵学院，教学经验丰富，理论知识基础雄厚</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1"/>
          <w:szCs w:val="21"/>
          <w:lang w:val="en-US" w:eastAsia="zh-CN" w:bidi="ar"/>
        </w:rPr>
        <w:t>(2)会计学（ACCA方向）班的授课老师除了来自学校本身的部分老师外，ACCA方面的课程都是由全数通过ACCA的，并且在外企或者国内大型企业担任重要财务管理职位的老师承担，企业实际操作知识相对多一些。</w:t>
      </w:r>
    </w:p>
    <w:p>
      <w:pPr>
        <w:keepNext w:val="0"/>
        <w:keepLines w:val="0"/>
        <w:widowControl/>
        <w:suppressLineNumbers w:val="0"/>
        <w:spacing w:before="0" w:beforeAutospacing="1" w:after="0" w:afterAutospacing="1" w:line="360" w:lineRule="auto"/>
        <w:ind w:left="0" w:right="0"/>
        <w:jc w:val="left"/>
      </w:pPr>
      <w:r>
        <w:rPr>
          <w:rStyle w:val="3"/>
          <w:rFonts w:hint="eastAsia" w:ascii="宋体" w:hAnsi="宋体" w:eastAsia="宋体" w:cs="宋体"/>
          <w:kern w:val="0"/>
          <w:sz w:val="21"/>
          <w:szCs w:val="21"/>
          <w:lang w:val="en-US" w:eastAsia="zh-CN" w:bidi="ar"/>
        </w:rPr>
        <w:t>3. 学习的费用</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1"/>
          <w:szCs w:val="21"/>
          <w:lang w:val="en-US" w:eastAsia="zh-CN" w:bidi="ar"/>
        </w:rPr>
        <w:t>    普通的会计学班只需要承担国家规定的大学期间的费用即可，而会计学（ACCA方向）班还另行需要承担合计大约5.5万的费用，主要包括ACCA的学费、考试费、注册费和年费。</w:t>
      </w:r>
    </w:p>
    <w:p>
      <w:pPr>
        <w:keepNext w:val="0"/>
        <w:keepLines w:val="0"/>
        <w:widowControl/>
        <w:suppressLineNumbers w:val="0"/>
        <w:spacing w:before="0" w:beforeAutospacing="1" w:after="0" w:afterAutospacing="1" w:line="360" w:lineRule="auto"/>
        <w:ind w:left="0" w:right="0"/>
        <w:jc w:val="left"/>
      </w:pPr>
      <w:r>
        <w:rPr>
          <w:rStyle w:val="3"/>
          <w:rFonts w:hint="eastAsia" w:ascii="宋体" w:hAnsi="宋体" w:eastAsia="宋体" w:cs="宋体"/>
          <w:kern w:val="0"/>
          <w:sz w:val="21"/>
          <w:szCs w:val="21"/>
          <w:lang w:val="en-US" w:eastAsia="zh-CN" w:bidi="ar"/>
        </w:rPr>
        <w:t>4. 对职业证书的获得和提高英语的促进关系</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1"/>
          <w:szCs w:val="21"/>
          <w:lang w:val="en-US" w:eastAsia="zh-CN" w:bidi="ar"/>
        </w:rPr>
        <w:t>(1)会计学（ACCA方向）班在毕业时，除了达到学校的毕业证和学位证授予条件能拿到铜陵学院会计学院的毕业证和学位证外，通过ACCA一定科目的考试还能获得相应的国际会计证书;</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1"/>
          <w:szCs w:val="21"/>
          <w:lang w:val="en-US" w:eastAsia="zh-CN" w:bidi="ar"/>
        </w:rPr>
        <w:t>(2)会计学（ACCA方向）班因为要学习专业的财经英语知识，所以在毕业生基本上英语已经有了很大的提高，经过西安外国语大学的调查，该校会计学（ACCA方向）班的学生在毕业生100%通过了大学英语六级，60%通过了英语专八的考试，52%的学生通过了英语专四的考试。</w:t>
      </w:r>
    </w:p>
    <w:p>
      <w:pPr>
        <w:keepNext w:val="0"/>
        <w:keepLines w:val="0"/>
        <w:widowControl/>
        <w:suppressLineNumbers w:val="0"/>
        <w:spacing w:before="0" w:beforeAutospacing="1" w:after="0" w:afterAutospacing="1" w:line="360" w:lineRule="auto"/>
        <w:ind w:left="0" w:right="0"/>
        <w:jc w:val="left"/>
      </w:pPr>
      <w:r>
        <w:rPr>
          <w:rStyle w:val="3"/>
          <w:rFonts w:hint="eastAsia" w:ascii="宋体" w:hAnsi="宋体" w:eastAsia="宋体" w:cs="宋体"/>
          <w:kern w:val="0"/>
          <w:sz w:val="21"/>
          <w:szCs w:val="21"/>
          <w:lang w:val="en-US" w:eastAsia="zh-CN" w:bidi="ar"/>
        </w:rPr>
        <w:t>5. 毕业后的就业单位情况</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1"/>
          <w:szCs w:val="21"/>
          <w:lang w:val="en-US" w:eastAsia="zh-CN" w:bidi="ar"/>
        </w:rPr>
        <w:t>   普通的会计学专业毕业生一般毕业后会进入企业从出纳做起，就目前毕业生就业情况而言，大部分毕业生进的企业都是一般的民营企业，起薪与待遇相对较低；而会计学（ACCA方向）班的学生通过了ACCA前9门的考试即可以享受到ACCA优先的实习和工作推荐机会，尤其是考完ACCA的学生很有机会进入四大会计师事务所或者一些比较知名的投资机构。</w:t>
      </w:r>
    </w:p>
    <w:p>
      <w:pPr>
        <w:keepNext w:val="0"/>
        <w:keepLines w:val="0"/>
        <w:widowControl/>
        <w:suppressLineNumbers w:val="0"/>
        <w:spacing w:before="0" w:beforeAutospacing="1" w:after="0" w:afterAutospacing="1" w:line="360" w:lineRule="auto"/>
        <w:ind w:left="0" w:right="0"/>
        <w:jc w:val="left"/>
      </w:pPr>
      <w:r>
        <w:rPr>
          <w:rStyle w:val="3"/>
          <w:rFonts w:hint="eastAsia" w:ascii="宋体" w:hAnsi="宋体" w:eastAsia="宋体" w:cs="宋体"/>
          <w:kern w:val="0"/>
          <w:sz w:val="21"/>
          <w:szCs w:val="21"/>
          <w:lang w:val="en-US" w:eastAsia="zh-CN" w:bidi="ar"/>
        </w:rPr>
        <w:t>6.会计学（ACCA方向）班的学生会比普通会计学班的学生多学习14门课程，具体为：</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F1会计学与企业                 Accountant in Business  </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F2  管理会计                 Management Accounting</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F3  财务会计                 Financial Accounting</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以上三门为基础课程</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F4  公司法与商法              Corporate and Business Law</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F5  业绩管理                Performance Management</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F6  税务                   Taxation</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F7  财务报告                Financial Reporting</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F8  审计与认证业务             Audit and Assurance</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F9  财务管理                </w:t>
      </w:r>
      <w:bookmarkStart w:id="0" w:name="_GoBack"/>
      <w:bookmarkEnd w:id="0"/>
      <w:r>
        <w:rPr>
          <w:rFonts w:hint="eastAsia" w:ascii="宋体" w:hAnsi="宋体" w:eastAsia="宋体" w:cs="宋体"/>
          <w:kern w:val="0"/>
          <w:sz w:val="21"/>
          <w:szCs w:val="21"/>
          <w:lang w:val="en-US" w:eastAsia="zh-CN" w:bidi="ar"/>
        </w:rPr>
        <w:t>Financial Management      </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 xml:space="preserve">以上六门为技能课程       </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P1  公司治理，风险管理与职业道德      Governance,Risk &amp; Ethics</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P2  公司报告                   Corporate Reporting</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P3  商务分析                   Business Analysis</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P4  高级财务管理                Adv. Financial Management</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P5  高级业绩管理                  Adv. Performance Management</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P6  高级税务                     Adv. Taxation</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P7  高级审计与认证业务               Adv. Audit and Assurance</w:t>
      </w:r>
    </w:p>
    <w:p>
      <w:pPr>
        <w:keepNext w:val="0"/>
        <w:keepLines w:val="0"/>
        <w:widowControl/>
        <w:suppressLineNumbers w:val="0"/>
        <w:spacing w:before="0" w:beforeAutospacing="1" w:after="0" w:afterAutospacing="1" w:line="360" w:lineRule="auto"/>
        <w:ind w:left="0" w:right="0" w:firstLine="240"/>
        <w:jc w:val="left"/>
      </w:pPr>
      <w:r>
        <w:rPr>
          <w:rFonts w:hint="eastAsia" w:ascii="宋体" w:hAnsi="宋体" w:eastAsia="宋体" w:cs="宋体"/>
          <w:kern w:val="0"/>
          <w:sz w:val="21"/>
          <w:szCs w:val="21"/>
          <w:lang w:val="en-US" w:eastAsia="zh-CN" w:bidi="ar"/>
        </w:rPr>
        <w:t>以上7门为核心课程，其中P1-P3必修，P4-P7四选二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6E65"/>
    <w:rsid w:val="202F5A41"/>
    <w:rsid w:val="33382920"/>
    <w:rsid w:val="42D17606"/>
    <w:rsid w:val="51D75840"/>
    <w:rsid w:val="746765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qFormat/>
    <w:uiPriority w:val="0"/>
    <w:rPr>
      <w:color w:val="000000"/>
      <w:u w:val="none"/>
    </w:rPr>
  </w:style>
  <w:style w:type="character" w:styleId="5">
    <w:name w:val="Hyperlink"/>
    <w:basedOn w:val="2"/>
    <w:uiPriority w:val="0"/>
    <w:rPr>
      <w:color w:val="000000"/>
      <w:u w:val="none"/>
    </w:rPr>
  </w:style>
  <w:style w:type="character" w:customStyle="1" w:styleId="7">
    <w:name w:val="value"/>
    <w:basedOn w:val="2"/>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18404</dc:creator>
  <cp:lastModifiedBy>ACCA</cp:lastModifiedBy>
  <dcterms:modified xsi:type="dcterms:W3CDTF">2016-10-11T08:50:29Z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