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会</w:t>
      </w:r>
      <w:r>
        <w:rPr>
          <w:rFonts w:hint="eastAsia"/>
          <w:b/>
          <w:bCs/>
          <w:sz w:val="32"/>
          <w:szCs w:val="32"/>
          <w:lang w:val="en-US" w:eastAsia="zh-CN"/>
        </w:rPr>
        <w:t>计学院各教研室、实验实训中心课程负责人（第一期）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Hans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会计教研室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会计学基础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本学院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孙燕云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会计学基础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其他学院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许厚斌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中级财务会计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上下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/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合计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128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课时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胡雪琪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中级财务会计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（96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课时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陈颖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中级财务会计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（64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课时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杭婷婷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eastAsia="zh-Hans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中级财务会计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（48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课时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赵师嘉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CPA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会计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上下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/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合计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128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课时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赵春艳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高级财务会计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吴本洲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商业伦理与会计职业道德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吴洋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政府会计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舒康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税务会计与纳税筹划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申海慧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会计英语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沈蕾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Excel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在会计中的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应用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崔捷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专业认知实习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吴洋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杭婷婷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专业导论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会计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刘捷先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Hans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center"/>
        <w:rPr>
          <w:rFonts w:hint="eastAsia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资产评估教研室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资产评估原理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王桂花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企业价值评估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汪婷婷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无形资产评估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李振楠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建筑工程评估基础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机电设备评估基础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专业导论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汪婷婷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专业认知实习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汪婷婷</w:t>
            </w:r>
          </w:p>
        </w:tc>
      </w:tr>
    </w:tbl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center"/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财务管理教研室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5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229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0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财务管理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汪群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李军改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财务成本管理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CPA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李军改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高级财务管理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成本与管理会计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曹永生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高雯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财务管理案例分析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财务分析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崔文琴</w:t>
            </w:r>
            <w:bookmarkStart w:id="0" w:name="_GoBack"/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bookmarkEnd w:id="0"/>
            <w:r>
              <w:rPr>
                <w:rFonts w:hint="eastAsia"/>
                <w:sz w:val="28"/>
                <w:szCs w:val="28"/>
              </w:rPr>
              <w:t>姚蕾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管理会计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张艳 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何一頔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成本会计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专业认知实习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郝银辉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专业导论</w:t>
            </w:r>
          </w:p>
        </w:tc>
        <w:tc>
          <w:tcPr>
            <w:tcW w:w="22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郝银辉</w:t>
            </w:r>
          </w:p>
        </w:tc>
      </w:tr>
    </w:tbl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审计教研室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5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审计学原理（CPA）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余婷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财务审计（CPA）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审计学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丁姗姗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审计学（CPA）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张晓毅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内部控制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吴中山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企业战略与风险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鲁君谊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企业战略与风险管理（CPA）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鲁君谊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审计信息系统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陶文丽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会计信息系统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朱晓茜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政府审计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车桂娟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内部审计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专业认知实习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张晓毅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专业导论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张晓毅</w:t>
            </w:r>
          </w:p>
        </w:tc>
      </w:tr>
    </w:tbl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实验实训中心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5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课程名称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Hans"/>
              </w:rPr>
              <w:t>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会计综合实训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程群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VBSE实训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财务决策模拟实训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姚蕾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资产评估综合实训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李振楠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智能财务机器人（RPA）应用实训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吴洋、杭婷婷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财务共享实训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何洁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Excel财务应用实训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崔捷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ERP供应链管理实训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企业经营沙盘实训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余婷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审计综合模拟实训</w:t>
            </w:r>
          </w:p>
        </w:tc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陶文丽</w:t>
            </w: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                  会计学院</w:t>
      </w:r>
    </w:p>
    <w:p>
      <w:pPr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2023年9月20日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zQwZGIxNjQ1Nzk2N2EzMTQ5MGYzMDgxZTFhZTcifQ=="/>
  </w:docVars>
  <w:rsids>
    <w:rsidRoot w:val="FE670949"/>
    <w:rsid w:val="09B05ADF"/>
    <w:rsid w:val="0B42029B"/>
    <w:rsid w:val="0D5108C6"/>
    <w:rsid w:val="0EA55AF2"/>
    <w:rsid w:val="10086187"/>
    <w:rsid w:val="10A64F19"/>
    <w:rsid w:val="12C77E88"/>
    <w:rsid w:val="1B7A7109"/>
    <w:rsid w:val="1C9B659C"/>
    <w:rsid w:val="1CA21F4A"/>
    <w:rsid w:val="20652935"/>
    <w:rsid w:val="2E9813A2"/>
    <w:rsid w:val="3D404AB5"/>
    <w:rsid w:val="3F545C6E"/>
    <w:rsid w:val="410D1152"/>
    <w:rsid w:val="4FF76504"/>
    <w:rsid w:val="528079D5"/>
    <w:rsid w:val="587A75C5"/>
    <w:rsid w:val="5ABA3CA0"/>
    <w:rsid w:val="609A4358"/>
    <w:rsid w:val="68D81D23"/>
    <w:rsid w:val="69126A56"/>
    <w:rsid w:val="71165644"/>
    <w:rsid w:val="73117D7E"/>
    <w:rsid w:val="DB2ED28A"/>
    <w:rsid w:val="FE6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2023-09-20T19:53:00Z</dcterms:created>
  <dc:creator>北极星</dc:creator>
  <cp:lastModifiedBy>满天星光</cp:lastModifiedBy>
  <dcterms:modified xsi:type="dcterms:W3CDTF">2023-09-25T03:23:52Z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1C82C672E37C45F102E40A65D075202E_43</vt:lpwstr>
  </property>
</Properties>
</file>