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2C8F">
      <w:pPr>
        <w:pageBreakBefore w:val="0"/>
        <w:kinsoku/>
        <w:wordWrap/>
        <w:overflowPunct/>
        <w:topLinePunct w:val="0"/>
        <w:autoSpaceDE/>
        <w:autoSpaceDN/>
        <w:bidi w:val="0"/>
        <w:snapToGrid/>
        <w:spacing w:line="360" w:lineRule="auto"/>
        <w:textAlignment w:val="auto"/>
        <w:rPr>
          <w:color w:val="auto"/>
        </w:rPr>
      </w:pPr>
    </w:p>
    <w:p w14:paraId="73C5B3DE">
      <w:pPr>
        <w:pStyle w:val="10"/>
        <w:pageBreakBefore w:val="0"/>
        <w:kinsoku/>
        <w:wordWrap/>
        <w:overflowPunct/>
        <w:topLinePunct w:val="0"/>
        <w:autoSpaceDE/>
        <w:autoSpaceDN/>
        <w:bidi w:val="0"/>
        <w:snapToGrid/>
        <w:spacing w:before="0" w:line="360" w:lineRule="auto"/>
        <w:jc w:val="center"/>
        <w:textAlignment w:val="auto"/>
        <w:rPr>
          <w:rFonts w:hint="default" w:ascii="宋体" w:hAnsi="宋体"/>
          <w:color w:val="auto"/>
          <w:sz w:val="52"/>
          <w:szCs w:val="52"/>
          <w:lang w:val="zh-CN"/>
        </w:rPr>
      </w:pPr>
      <w:bookmarkStart w:id="0" w:name="_Toc19165"/>
      <w:bookmarkStart w:id="1" w:name="_Toc20760"/>
      <w:r>
        <w:rPr>
          <w:rFonts w:hint="eastAsia" w:ascii="宋体" w:hAnsi="宋体"/>
          <w:color w:val="auto"/>
          <w:sz w:val="52"/>
          <w:szCs w:val="52"/>
          <w:lang w:val="en-US" w:eastAsia="zh-CN"/>
        </w:rPr>
        <w:t>铜陵</w:t>
      </w:r>
      <w:r>
        <w:rPr>
          <w:rFonts w:ascii="宋体" w:hAnsi="宋体"/>
          <w:color w:val="auto"/>
          <w:sz w:val="52"/>
          <w:szCs w:val="52"/>
          <w:lang w:val="zh-CN"/>
        </w:rPr>
        <w:t>学院</w:t>
      </w:r>
      <w:bookmarkEnd w:id="0"/>
      <w:bookmarkEnd w:id="1"/>
    </w:p>
    <w:p w14:paraId="5CF4BDE4">
      <w:pPr>
        <w:pStyle w:val="10"/>
        <w:pageBreakBefore w:val="0"/>
        <w:kinsoku/>
        <w:wordWrap/>
        <w:overflowPunct/>
        <w:topLinePunct w:val="0"/>
        <w:autoSpaceDE/>
        <w:autoSpaceDN/>
        <w:bidi w:val="0"/>
        <w:snapToGrid/>
        <w:spacing w:before="0" w:line="360" w:lineRule="auto"/>
        <w:jc w:val="center"/>
        <w:textAlignment w:val="auto"/>
        <w:rPr>
          <w:rFonts w:hint="default" w:ascii="仿宋" w:hAnsi="仿宋" w:eastAsia="仿宋"/>
          <w:b/>
          <w:color w:val="auto"/>
          <w:sz w:val="64"/>
          <w:szCs w:val="64"/>
          <w:lang w:val="zh-CN"/>
        </w:rPr>
      </w:pPr>
      <w:bookmarkStart w:id="2" w:name="_Toc5467"/>
      <w:bookmarkStart w:id="3" w:name="_Toc10344"/>
      <w:bookmarkStart w:id="4" w:name="_Toc20778"/>
      <w:bookmarkStart w:id="5" w:name="_Toc17781"/>
      <w:bookmarkStart w:id="6" w:name="_Toc22146"/>
      <w:bookmarkStart w:id="7" w:name="_Toc14779"/>
      <w:bookmarkStart w:id="8" w:name="_Toc26178"/>
      <w:bookmarkStart w:id="9" w:name="_Toc28784"/>
      <w:bookmarkStart w:id="10" w:name="_Toc2840"/>
      <w:bookmarkStart w:id="11" w:name="_Toc19269"/>
      <w:bookmarkStart w:id="12" w:name="_Toc12697"/>
      <w:bookmarkStart w:id="13" w:name="_Toc9750"/>
      <w:bookmarkStart w:id="14" w:name="_Toc8593"/>
      <w:bookmarkStart w:id="15" w:name="_Toc17741"/>
      <w:bookmarkStart w:id="16" w:name="_Toc32413"/>
      <w:r>
        <w:rPr>
          <w:rFonts w:hint="default" w:ascii="宋体" w:hAnsi="宋体"/>
          <w:color w:val="auto"/>
          <w:sz w:val="52"/>
          <w:szCs w:val="52"/>
          <w:lang w:val="zh-CN"/>
        </w:rPr>
        <w:t>202</w:t>
      </w:r>
      <w:r>
        <w:rPr>
          <w:rFonts w:hint="eastAsia" w:ascii="宋体" w:hAnsi="宋体"/>
          <w:color w:val="auto"/>
          <w:sz w:val="52"/>
          <w:szCs w:val="52"/>
          <w:lang w:val="en-US" w:eastAsia="zh-CN"/>
        </w:rPr>
        <w:t>4</w:t>
      </w:r>
      <w:r>
        <w:rPr>
          <w:rFonts w:hint="default" w:ascii="宋体" w:hAnsi="宋体"/>
          <w:color w:val="auto"/>
          <w:sz w:val="52"/>
          <w:szCs w:val="52"/>
          <w:lang w:val="zh-CN"/>
        </w:rPr>
        <w:t>年度</w:t>
      </w:r>
      <w:r>
        <w:rPr>
          <w:rFonts w:ascii="宋体" w:hAnsi="宋体"/>
          <w:color w:val="auto"/>
          <w:sz w:val="52"/>
          <w:szCs w:val="52"/>
          <w:lang w:val="zh-CN"/>
        </w:rPr>
        <w:t>校</w:t>
      </w:r>
      <w:r>
        <w:rPr>
          <w:rFonts w:hint="default" w:ascii="宋体" w:hAnsi="宋体"/>
          <w:color w:val="auto"/>
          <w:sz w:val="52"/>
          <w:szCs w:val="52"/>
          <w:lang w:val="zh-CN"/>
        </w:rPr>
        <w:t>级质量工程项目</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0726879">
      <w:pPr>
        <w:pStyle w:val="10"/>
        <w:pageBreakBefore w:val="0"/>
        <w:kinsoku/>
        <w:wordWrap/>
        <w:overflowPunct/>
        <w:topLinePunct w:val="0"/>
        <w:autoSpaceDE/>
        <w:autoSpaceDN/>
        <w:bidi w:val="0"/>
        <w:snapToGrid/>
        <w:spacing w:before="0" w:line="360" w:lineRule="auto"/>
        <w:jc w:val="center"/>
        <w:textAlignment w:val="auto"/>
        <w:rPr>
          <w:rFonts w:hint="default" w:ascii="仿宋" w:hAnsi="仿宋" w:eastAsia="仿宋"/>
          <w:color w:val="auto"/>
          <w:sz w:val="64"/>
          <w:szCs w:val="64"/>
          <w:lang w:val="zh-CN"/>
        </w:rPr>
      </w:pPr>
    </w:p>
    <w:p w14:paraId="3B259443">
      <w:pPr>
        <w:rPr>
          <w:rFonts w:hint="default"/>
          <w:color w:val="auto"/>
          <w:lang w:val="zh-CN"/>
        </w:rPr>
      </w:pPr>
    </w:p>
    <w:p w14:paraId="2B502349">
      <w:pPr>
        <w:pageBreakBefore w:val="0"/>
        <w:kinsoku/>
        <w:wordWrap/>
        <w:overflowPunct/>
        <w:topLinePunct w:val="0"/>
        <w:autoSpaceDE/>
        <w:autoSpaceDN/>
        <w:bidi w:val="0"/>
        <w:snapToGrid/>
        <w:spacing w:line="360" w:lineRule="auto"/>
        <w:jc w:val="center"/>
        <w:textAlignment w:val="auto"/>
        <w:outlineLvl w:val="0"/>
        <w:rPr>
          <w:rFonts w:ascii="仿宋" w:hAnsi="仿宋" w:eastAsia="仿宋"/>
          <w:b/>
          <w:bCs/>
          <w:color w:val="auto"/>
          <w:sz w:val="84"/>
          <w:szCs w:val="84"/>
          <w:lang w:val="zh-CN"/>
        </w:rPr>
      </w:pPr>
      <w:bookmarkStart w:id="17" w:name="_Toc28626"/>
      <w:bookmarkStart w:id="18" w:name="_Toc1217"/>
      <w:r>
        <w:rPr>
          <w:rFonts w:hint="eastAsia" w:ascii="仿宋" w:hAnsi="仿宋" w:eastAsia="仿宋"/>
          <w:b/>
          <w:bCs/>
          <w:color w:val="auto"/>
          <w:sz w:val="84"/>
          <w:szCs w:val="84"/>
          <w:lang w:val="zh-CN"/>
        </w:rPr>
        <w:t>申</w:t>
      </w:r>
      <w:bookmarkEnd w:id="17"/>
      <w:bookmarkEnd w:id="18"/>
    </w:p>
    <w:p w14:paraId="0C1B9940">
      <w:pPr>
        <w:pageBreakBefore w:val="0"/>
        <w:kinsoku/>
        <w:wordWrap/>
        <w:overflowPunct/>
        <w:topLinePunct w:val="0"/>
        <w:autoSpaceDE/>
        <w:autoSpaceDN/>
        <w:bidi w:val="0"/>
        <w:snapToGrid/>
        <w:spacing w:line="360" w:lineRule="auto"/>
        <w:jc w:val="center"/>
        <w:textAlignment w:val="auto"/>
        <w:outlineLvl w:val="0"/>
        <w:rPr>
          <w:rFonts w:ascii="仿宋" w:hAnsi="仿宋" w:eastAsia="仿宋"/>
          <w:b/>
          <w:bCs/>
          <w:color w:val="auto"/>
          <w:sz w:val="84"/>
          <w:szCs w:val="84"/>
          <w:lang w:val="zh-CN"/>
        </w:rPr>
      </w:pPr>
      <w:bookmarkStart w:id="19" w:name="_Toc23363"/>
      <w:bookmarkStart w:id="20" w:name="_Toc26082"/>
      <w:r>
        <w:rPr>
          <w:rFonts w:hint="eastAsia" w:ascii="仿宋" w:hAnsi="仿宋" w:eastAsia="仿宋"/>
          <w:b/>
          <w:bCs/>
          <w:color w:val="auto"/>
          <w:sz w:val="84"/>
          <w:szCs w:val="84"/>
          <w:lang w:val="zh-CN"/>
        </w:rPr>
        <w:t>报</w:t>
      </w:r>
      <w:bookmarkEnd w:id="19"/>
      <w:bookmarkEnd w:id="20"/>
    </w:p>
    <w:p w14:paraId="7CEFBA4E">
      <w:pPr>
        <w:pageBreakBefore w:val="0"/>
        <w:kinsoku/>
        <w:wordWrap/>
        <w:overflowPunct/>
        <w:topLinePunct w:val="0"/>
        <w:autoSpaceDE/>
        <w:autoSpaceDN/>
        <w:bidi w:val="0"/>
        <w:snapToGrid/>
        <w:spacing w:line="360" w:lineRule="auto"/>
        <w:jc w:val="center"/>
        <w:textAlignment w:val="auto"/>
        <w:outlineLvl w:val="0"/>
        <w:rPr>
          <w:rFonts w:ascii="仿宋" w:hAnsi="仿宋" w:eastAsia="仿宋"/>
          <w:b/>
          <w:bCs/>
          <w:color w:val="auto"/>
          <w:sz w:val="84"/>
          <w:szCs w:val="84"/>
          <w:lang w:val="zh-CN"/>
        </w:rPr>
      </w:pPr>
      <w:bookmarkStart w:id="21" w:name="_Toc8368"/>
      <w:bookmarkStart w:id="22" w:name="_Toc5793"/>
      <w:r>
        <w:rPr>
          <w:rFonts w:hint="eastAsia" w:ascii="仿宋" w:hAnsi="仿宋" w:eastAsia="仿宋"/>
          <w:b/>
          <w:bCs/>
          <w:color w:val="auto"/>
          <w:sz w:val="84"/>
          <w:szCs w:val="84"/>
          <w:lang w:val="zh-CN"/>
        </w:rPr>
        <w:t>指</w:t>
      </w:r>
      <w:bookmarkEnd w:id="21"/>
      <w:bookmarkEnd w:id="22"/>
    </w:p>
    <w:p w14:paraId="6DE41A3E">
      <w:pPr>
        <w:pageBreakBefore w:val="0"/>
        <w:kinsoku/>
        <w:wordWrap/>
        <w:overflowPunct/>
        <w:topLinePunct w:val="0"/>
        <w:autoSpaceDE/>
        <w:autoSpaceDN/>
        <w:bidi w:val="0"/>
        <w:snapToGrid/>
        <w:spacing w:line="360" w:lineRule="auto"/>
        <w:jc w:val="center"/>
        <w:textAlignment w:val="auto"/>
        <w:outlineLvl w:val="0"/>
        <w:rPr>
          <w:rFonts w:ascii="仿宋" w:hAnsi="仿宋" w:eastAsia="仿宋"/>
          <w:bCs/>
          <w:color w:val="auto"/>
          <w:sz w:val="84"/>
          <w:szCs w:val="84"/>
          <w:lang w:val="zh-CN"/>
        </w:rPr>
      </w:pPr>
      <w:bookmarkStart w:id="23" w:name="_Toc28519"/>
      <w:bookmarkStart w:id="24" w:name="_Toc226"/>
      <w:r>
        <w:rPr>
          <w:rFonts w:hint="eastAsia" w:ascii="仿宋" w:hAnsi="仿宋" w:eastAsia="仿宋"/>
          <w:b/>
          <w:bCs/>
          <w:color w:val="auto"/>
          <w:sz w:val="84"/>
          <w:szCs w:val="84"/>
          <w:lang w:val="zh-CN"/>
        </w:rPr>
        <w:t>南</w:t>
      </w:r>
      <w:bookmarkEnd w:id="23"/>
      <w:bookmarkEnd w:id="24"/>
    </w:p>
    <w:p w14:paraId="21246FFB">
      <w:pPr>
        <w:pStyle w:val="10"/>
        <w:pageBreakBefore w:val="0"/>
        <w:kinsoku/>
        <w:wordWrap/>
        <w:overflowPunct/>
        <w:topLinePunct w:val="0"/>
        <w:autoSpaceDE/>
        <w:autoSpaceDN/>
        <w:bidi w:val="0"/>
        <w:snapToGrid/>
        <w:spacing w:before="0" w:line="360" w:lineRule="auto"/>
        <w:jc w:val="center"/>
        <w:textAlignment w:val="auto"/>
        <w:rPr>
          <w:rFonts w:hint="default" w:ascii="仿宋" w:hAnsi="仿宋" w:eastAsia="仿宋"/>
          <w:color w:val="auto"/>
          <w:sz w:val="64"/>
          <w:szCs w:val="64"/>
          <w:lang w:val="zh-CN"/>
        </w:rPr>
      </w:pPr>
    </w:p>
    <w:p w14:paraId="2D221ED8">
      <w:pPr>
        <w:rPr>
          <w:rFonts w:hint="default"/>
          <w:color w:val="auto"/>
          <w:lang w:val="zh-CN"/>
        </w:rPr>
      </w:pPr>
    </w:p>
    <w:p w14:paraId="631B0135">
      <w:pPr>
        <w:pageBreakBefore w:val="0"/>
        <w:kinsoku/>
        <w:wordWrap/>
        <w:overflowPunct/>
        <w:topLinePunct w:val="0"/>
        <w:autoSpaceDE/>
        <w:autoSpaceDN/>
        <w:bidi w:val="0"/>
        <w:snapToGrid/>
        <w:spacing w:line="360" w:lineRule="auto"/>
        <w:jc w:val="center"/>
        <w:textAlignment w:val="auto"/>
        <w:rPr>
          <w:rFonts w:ascii="仿宋" w:hAnsi="仿宋" w:eastAsia="仿宋"/>
          <w:b/>
          <w:color w:val="auto"/>
          <w:sz w:val="36"/>
          <w:szCs w:val="36"/>
          <w:lang w:val="zh-CN"/>
        </w:rPr>
      </w:pPr>
    </w:p>
    <w:p w14:paraId="7B9BC7C8">
      <w:pPr>
        <w:pageBreakBefore w:val="0"/>
        <w:kinsoku/>
        <w:wordWrap/>
        <w:overflowPunct/>
        <w:topLinePunct w:val="0"/>
        <w:autoSpaceDE/>
        <w:autoSpaceDN/>
        <w:bidi w:val="0"/>
        <w:snapToGrid/>
        <w:spacing w:line="360" w:lineRule="auto"/>
        <w:jc w:val="center"/>
        <w:textAlignment w:val="auto"/>
        <w:rPr>
          <w:rFonts w:ascii="仿宋" w:hAnsi="仿宋" w:eastAsia="仿宋"/>
          <w:b/>
          <w:color w:val="auto"/>
          <w:sz w:val="36"/>
          <w:szCs w:val="36"/>
          <w:lang w:val="zh-CN"/>
        </w:rPr>
      </w:pPr>
    </w:p>
    <w:p w14:paraId="314C4DFE">
      <w:pPr>
        <w:pageBreakBefore w:val="0"/>
        <w:kinsoku/>
        <w:wordWrap/>
        <w:overflowPunct/>
        <w:topLinePunct w:val="0"/>
        <w:autoSpaceDE/>
        <w:autoSpaceDN/>
        <w:bidi w:val="0"/>
        <w:snapToGrid/>
        <w:spacing w:line="360" w:lineRule="auto"/>
        <w:jc w:val="center"/>
        <w:textAlignment w:val="auto"/>
        <w:rPr>
          <w:rFonts w:ascii="仿宋" w:hAnsi="仿宋" w:eastAsia="仿宋"/>
          <w:color w:val="auto"/>
          <w:sz w:val="36"/>
          <w:szCs w:val="36"/>
        </w:rPr>
      </w:pPr>
      <w:r>
        <w:rPr>
          <w:rFonts w:hint="eastAsia" w:ascii="仿宋" w:hAnsi="仿宋" w:eastAsia="仿宋"/>
          <w:color w:val="auto"/>
          <w:sz w:val="36"/>
          <w:szCs w:val="36"/>
          <w:lang w:val="en-US" w:eastAsia="zh-CN"/>
        </w:rPr>
        <w:t>铜陵</w:t>
      </w:r>
      <w:r>
        <w:rPr>
          <w:rFonts w:hint="eastAsia" w:ascii="仿宋" w:hAnsi="仿宋" w:eastAsia="仿宋"/>
          <w:color w:val="auto"/>
          <w:sz w:val="36"/>
          <w:szCs w:val="36"/>
        </w:rPr>
        <w:t>学院教务处</w:t>
      </w:r>
      <w:r>
        <w:rPr>
          <w:rFonts w:ascii="仿宋" w:hAnsi="仿宋" w:eastAsia="仿宋"/>
          <w:color w:val="auto"/>
          <w:sz w:val="36"/>
          <w:szCs w:val="36"/>
        </w:rPr>
        <w:t xml:space="preserve"> </w:t>
      </w:r>
      <w:r>
        <w:rPr>
          <w:rFonts w:hint="eastAsia" w:ascii="仿宋" w:hAnsi="仿宋" w:eastAsia="仿宋"/>
          <w:color w:val="auto"/>
          <w:sz w:val="36"/>
          <w:szCs w:val="36"/>
        </w:rPr>
        <w:t>制</w:t>
      </w:r>
    </w:p>
    <w:p w14:paraId="6973A5E9">
      <w:pPr>
        <w:pageBreakBefore w:val="0"/>
        <w:kinsoku/>
        <w:wordWrap/>
        <w:overflowPunct/>
        <w:topLinePunct w:val="0"/>
        <w:autoSpaceDE/>
        <w:autoSpaceDN/>
        <w:bidi w:val="0"/>
        <w:snapToGrid/>
        <w:spacing w:line="360" w:lineRule="auto"/>
        <w:jc w:val="center"/>
        <w:textAlignment w:val="auto"/>
        <w:rPr>
          <w:rFonts w:ascii="仿宋" w:hAnsi="仿宋" w:eastAsia="仿宋"/>
          <w:color w:val="auto"/>
        </w:rPr>
      </w:pPr>
      <w:r>
        <w:rPr>
          <w:rFonts w:ascii="仿宋" w:hAnsi="仿宋" w:eastAsia="仿宋"/>
          <w:color w:val="auto"/>
          <w:sz w:val="36"/>
          <w:szCs w:val="36"/>
        </w:rPr>
        <w:t>202</w:t>
      </w:r>
      <w:r>
        <w:rPr>
          <w:rFonts w:hint="eastAsia" w:ascii="仿宋" w:hAnsi="仿宋" w:eastAsia="仿宋"/>
          <w:color w:val="auto"/>
          <w:sz w:val="36"/>
          <w:szCs w:val="36"/>
          <w:lang w:val="en-US" w:eastAsia="zh-CN"/>
        </w:rPr>
        <w:t>4</w:t>
      </w:r>
      <w:r>
        <w:rPr>
          <w:rFonts w:hint="eastAsia" w:ascii="仿宋" w:hAnsi="仿宋" w:eastAsia="仿宋"/>
          <w:color w:val="auto"/>
          <w:sz w:val="36"/>
          <w:szCs w:val="36"/>
        </w:rPr>
        <w:t>年</w:t>
      </w:r>
    </w:p>
    <w:p w14:paraId="573F8A5B">
      <w:pPr>
        <w:pageBreakBefore w:val="0"/>
        <w:kinsoku/>
        <w:wordWrap/>
        <w:overflowPunct/>
        <w:topLinePunct w:val="0"/>
        <w:autoSpaceDE/>
        <w:autoSpaceDN/>
        <w:bidi w:val="0"/>
        <w:snapToGrid/>
        <w:spacing w:line="360" w:lineRule="auto"/>
        <w:textAlignment w:val="auto"/>
        <w:rPr>
          <w:color w:val="auto"/>
        </w:rPr>
      </w:pPr>
    </w:p>
    <w:p w14:paraId="2140A4E8">
      <w:pPr>
        <w:pageBreakBefore w:val="0"/>
        <w:kinsoku/>
        <w:wordWrap/>
        <w:overflowPunct/>
        <w:topLinePunct w:val="0"/>
        <w:autoSpaceDE/>
        <w:autoSpaceDN/>
        <w:bidi w:val="0"/>
        <w:snapToGrid/>
        <w:spacing w:line="360" w:lineRule="auto"/>
        <w:textAlignment w:val="auto"/>
        <w:rPr>
          <w:color w:val="auto"/>
        </w:rPr>
      </w:pPr>
    </w:p>
    <w:p w14:paraId="52C4FEE1">
      <w:pPr>
        <w:pageBreakBefore w:val="0"/>
        <w:kinsoku/>
        <w:wordWrap/>
        <w:overflowPunct/>
        <w:topLinePunct w:val="0"/>
        <w:autoSpaceDE/>
        <w:autoSpaceDN/>
        <w:bidi w:val="0"/>
        <w:snapToGrid/>
        <w:spacing w:line="360" w:lineRule="auto"/>
        <w:textAlignment w:val="auto"/>
        <w:rPr>
          <w:color w:val="auto"/>
        </w:rPr>
      </w:pPr>
    </w:p>
    <w:p w14:paraId="42B8CEF1">
      <w:pPr>
        <w:pageBreakBefore w:val="0"/>
        <w:kinsoku/>
        <w:wordWrap/>
        <w:overflowPunct/>
        <w:topLinePunct w:val="0"/>
        <w:autoSpaceDE/>
        <w:autoSpaceDN/>
        <w:bidi w:val="0"/>
        <w:snapToGrid/>
        <w:spacing w:line="360" w:lineRule="auto"/>
        <w:jc w:val="center"/>
        <w:textAlignment w:val="auto"/>
        <w:rPr>
          <w:rFonts w:hint="eastAsia" w:ascii="黑体" w:hAnsi="黑体" w:eastAsia="黑体" w:cs="黑体"/>
          <w:color w:val="auto"/>
        </w:rPr>
      </w:pPr>
      <w:r>
        <w:rPr>
          <w:rFonts w:hint="eastAsia" w:ascii="黑体" w:hAnsi="黑体" w:eastAsia="黑体" w:cs="黑体"/>
          <w:color w:val="auto"/>
          <w:kern w:val="0"/>
          <w:sz w:val="52"/>
          <w:szCs w:val="52"/>
          <w:lang w:val="zh-CN" w:eastAsia="zh-CN" w:bidi="ar-SA"/>
        </w:rPr>
        <w:t>目  录</w:t>
      </w:r>
    </w:p>
    <w:p w14:paraId="07C5CAB8">
      <w:pPr>
        <w:pageBreakBefore w:val="0"/>
        <w:kinsoku/>
        <w:wordWrap/>
        <w:overflowPunct/>
        <w:topLinePunct w:val="0"/>
        <w:autoSpaceDE/>
        <w:autoSpaceDN/>
        <w:bidi w:val="0"/>
        <w:snapToGrid/>
        <w:spacing w:line="360" w:lineRule="auto"/>
        <w:textAlignment w:val="auto"/>
        <w:rPr>
          <w:color w:val="auto"/>
        </w:rPr>
      </w:pPr>
    </w:p>
    <w:p w14:paraId="33B41EFF">
      <w:pPr>
        <w:pageBreakBefore w:val="0"/>
        <w:numPr>
          <w:ilvl w:val="0"/>
          <w:numId w:val="0"/>
        </w:numPr>
        <w:kinsoku/>
        <w:wordWrap/>
        <w:overflowPunct/>
        <w:topLinePunct w:val="0"/>
        <w:autoSpaceDE/>
        <w:autoSpaceDN/>
        <w:bidi w:val="0"/>
        <w:snapToGrid/>
        <w:spacing w:line="360" w:lineRule="auto"/>
        <w:textAlignment w:val="auto"/>
        <w:rPr>
          <w:rFonts w:hint="eastAsia"/>
          <w:b/>
          <w:bCs/>
          <w:color w:val="auto"/>
          <w:sz w:val="24"/>
          <w:szCs w:val="24"/>
        </w:rPr>
      </w:pPr>
      <w:r>
        <w:rPr>
          <w:rFonts w:hint="eastAsia"/>
          <w:b/>
          <w:bCs/>
          <w:color w:val="auto"/>
          <w:sz w:val="24"/>
          <w:szCs w:val="24"/>
          <w:lang w:val="en-US" w:eastAsia="zh-CN"/>
        </w:rPr>
        <w:t>1.校级</w:t>
      </w:r>
      <w:r>
        <w:rPr>
          <w:rFonts w:hint="eastAsia"/>
          <w:b/>
          <w:bCs/>
          <w:color w:val="auto"/>
          <w:sz w:val="24"/>
          <w:szCs w:val="24"/>
        </w:rPr>
        <w:t>教育教学研究项目</w:t>
      </w:r>
    </w:p>
    <w:p w14:paraId="643C8FD8">
      <w:pPr>
        <w:pageBreakBefore w:val="0"/>
        <w:numPr>
          <w:ilvl w:val="0"/>
          <w:numId w:val="0"/>
        </w:numPr>
        <w:kinsoku/>
        <w:wordWrap/>
        <w:overflowPunct/>
        <w:topLinePunct w:val="0"/>
        <w:autoSpaceDE/>
        <w:autoSpaceDN/>
        <w:bidi w:val="0"/>
        <w:snapToGrid/>
        <w:spacing w:line="360" w:lineRule="auto"/>
        <w:ind w:leftChars="0"/>
        <w:textAlignment w:val="auto"/>
        <w:rPr>
          <w:rFonts w:hint="eastAsia"/>
          <w:b/>
          <w:bCs/>
          <w:color w:val="auto"/>
          <w:sz w:val="24"/>
          <w:szCs w:val="24"/>
        </w:rPr>
      </w:pPr>
      <w:r>
        <w:rPr>
          <w:rFonts w:hint="eastAsia"/>
          <w:b/>
          <w:bCs/>
          <w:color w:val="auto"/>
          <w:sz w:val="24"/>
          <w:szCs w:val="24"/>
          <w:lang w:val="en-US" w:eastAsia="zh-CN"/>
        </w:rPr>
        <w:t>2.校级</w:t>
      </w:r>
      <w:r>
        <w:rPr>
          <w:rFonts w:hint="eastAsia"/>
          <w:b/>
          <w:bCs/>
          <w:color w:val="auto"/>
          <w:sz w:val="24"/>
          <w:szCs w:val="24"/>
        </w:rPr>
        <w:t>课程建设类项目</w:t>
      </w:r>
    </w:p>
    <w:p w14:paraId="48ACA85A">
      <w:pPr>
        <w:pageBreakBefore w:val="0"/>
        <w:numPr>
          <w:ilvl w:val="0"/>
          <w:numId w:val="0"/>
        </w:numPr>
        <w:kinsoku/>
        <w:wordWrap/>
        <w:overflowPunct/>
        <w:topLinePunct w:val="0"/>
        <w:autoSpaceDE/>
        <w:autoSpaceDN/>
        <w:bidi w:val="0"/>
        <w:snapToGrid/>
        <w:spacing w:line="360" w:lineRule="auto"/>
        <w:ind w:leftChars="0"/>
        <w:textAlignment w:val="auto"/>
        <w:rPr>
          <w:rFonts w:hint="eastAsia"/>
          <w:color w:val="auto"/>
          <w:sz w:val="24"/>
          <w:szCs w:val="24"/>
        </w:rPr>
      </w:pPr>
      <w:r>
        <w:rPr>
          <w:rFonts w:hint="eastAsia"/>
          <w:color w:val="auto"/>
          <w:sz w:val="24"/>
          <w:szCs w:val="24"/>
          <w:lang w:val="en-US" w:eastAsia="zh-CN"/>
        </w:rPr>
        <w:t>2.1</w:t>
      </w:r>
      <w:r>
        <w:rPr>
          <w:rFonts w:hint="eastAsia"/>
          <w:color w:val="auto"/>
          <w:sz w:val="24"/>
          <w:szCs w:val="24"/>
        </w:rPr>
        <w:t>线上课程</w:t>
      </w:r>
    </w:p>
    <w:p w14:paraId="02654437">
      <w:pPr>
        <w:pageBreakBefore w:val="0"/>
        <w:numPr>
          <w:ilvl w:val="0"/>
          <w:numId w:val="0"/>
        </w:numPr>
        <w:kinsoku/>
        <w:wordWrap/>
        <w:overflowPunct/>
        <w:topLinePunct w:val="0"/>
        <w:autoSpaceDE/>
        <w:autoSpaceDN/>
        <w:bidi w:val="0"/>
        <w:snapToGrid/>
        <w:spacing w:line="360" w:lineRule="auto"/>
        <w:ind w:leftChars="0"/>
        <w:textAlignment w:val="auto"/>
        <w:rPr>
          <w:rFonts w:hint="default" w:eastAsia="宋体"/>
          <w:color w:val="auto"/>
          <w:sz w:val="24"/>
          <w:szCs w:val="24"/>
          <w:lang w:val="en-US" w:eastAsia="zh-CN"/>
        </w:rPr>
      </w:pPr>
      <w:r>
        <w:rPr>
          <w:rFonts w:hint="eastAsia"/>
          <w:color w:val="auto"/>
          <w:sz w:val="24"/>
          <w:szCs w:val="24"/>
          <w:lang w:val="en-US" w:eastAsia="zh-CN"/>
        </w:rPr>
        <w:t>2.2线上线下混合式课程</w:t>
      </w:r>
    </w:p>
    <w:p w14:paraId="247AE1E7">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2.3</w:t>
      </w:r>
      <w:r>
        <w:rPr>
          <w:rFonts w:hint="eastAsia"/>
          <w:color w:val="auto"/>
          <w:sz w:val="24"/>
          <w:szCs w:val="24"/>
        </w:rPr>
        <w:t>社会实践课程</w:t>
      </w:r>
    </w:p>
    <w:p w14:paraId="49F29C8D">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2.4</w:t>
      </w:r>
      <w:r>
        <w:rPr>
          <w:rFonts w:hint="eastAsia"/>
          <w:color w:val="auto"/>
          <w:sz w:val="24"/>
          <w:szCs w:val="24"/>
        </w:rPr>
        <w:t>虚拟仿真实验教学课程</w:t>
      </w:r>
    </w:p>
    <w:p w14:paraId="2D32AB99">
      <w:pPr>
        <w:pageBreakBefore w:val="0"/>
        <w:kinsoku/>
        <w:wordWrap/>
        <w:overflowPunct/>
        <w:topLinePunct w:val="0"/>
        <w:autoSpaceDE/>
        <w:autoSpaceDN/>
        <w:bidi w:val="0"/>
        <w:snapToGrid/>
        <w:spacing w:line="360" w:lineRule="auto"/>
        <w:textAlignment w:val="auto"/>
        <w:rPr>
          <w:rFonts w:hint="default" w:eastAsia="宋体"/>
          <w:color w:val="auto"/>
          <w:sz w:val="24"/>
          <w:szCs w:val="24"/>
          <w:lang w:val="en-US" w:eastAsia="zh-CN"/>
        </w:rPr>
      </w:pPr>
      <w:r>
        <w:rPr>
          <w:rFonts w:hint="eastAsia"/>
          <w:color w:val="auto"/>
          <w:sz w:val="24"/>
          <w:szCs w:val="24"/>
          <w:lang w:val="en-US" w:eastAsia="zh-CN"/>
        </w:rPr>
        <w:t>2.5人工智能课程</w:t>
      </w:r>
    </w:p>
    <w:p w14:paraId="24B88C7D">
      <w:pPr>
        <w:pageBreakBefore w:val="0"/>
        <w:numPr>
          <w:ilvl w:val="0"/>
          <w:numId w:val="0"/>
        </w:numPr>
        <w:kinsoku/>
        <w:wordWrap/>
        <w:overflowPunct/>
        <w:topLinePunct w:val="0"/>
        <w:autoSpaceDE/>
        <w:autoSpaceDN/>
        <w:bidi w:val="0"/>
        <w:snapToGrid/>
        <w:spacing w:line="360" w:lineRule="auto"/>
        <w:ind w:leftChars="0"/>
        <w:textAlignment w:val="auto"/>
        <w:rPr>
          <w:rFonts w:hint="eastAsia"/>
          <w:b/>
          <w:bCs/>
          <w:color w:val="auto"/>
          <w:sz w:val="24"/>
          <w:szCs w:val="24"/>
        </w:rPr>
      </w:pPr>
      <w:r>
        <w:rPr>
          <w:rFonts w:hint="eastAsia"/>
          <w:b/>
          <w:bCs/>
          <w:color w:val="auto"/>
          <w:sz w:val="24"/>
          <w:szCs w:val="24"/>
          <w:lang w:val="en-US" w:eastAsia="zh-CN"/>
        </w:rPr>
        <w:t>3.校级</w:t>
      </w:r>
      <w:r>
        <w:rPr>
          <w:rFonts w:hint="eastAsia"/>
          <w:b/>
          <w:bCs/>
          <w:color w:val="auto"/>
          <w:sz w:val="24"/>
          <w:szCs w:val="24"/>
        </w:rPr>
        <w:t>教学成果奖</w:t>
      </w:r>
    </w:p>
    <w:p w14:paraId="6CEDC8AC">
      <w:pPr>
        <w:pageBreakBefore w:val="0"/>
        <w:numPr>
          <w:ilvl w:val="0"/>
          <w:numId w:val="0"/>
        </w:numPr>
        <w:kinsoku/>
        <w:wordWrap/>
        <w:overflowPunct/>
        <w:topLinePunct w:val="0"/>
        <w:autoSpaceDE/>
        <w:autoSpaceDN/>
        <w:bidi w:val="0"/>
        <w:snapToGrid/>
        <w:spacing w:line="360" w:lineRule="auto"/>
        <w:ind w:leftChars="0"/>
        <w:textAlignment w:val="auto"/>
        <w:rPr>
          <w:rFonts w:hint="eastAsia"/>
          <w:color w:val="auto"/>
          <w:sz w:val="24"/>
          <w:szCs w:val="24"/>
        </w:rPr>
      </w:pPr>
      <w:r>
        <w:rPr>
          <w:rFonts w:hint="eastAsia"/>
          <w:b/>
          <w:bCs/>
          <w:color w:val="auto"/>
          <w:sz w:val="24"/>
          <w:szCs w:val="24"/>
          <w:lang w:val="en-US" w:eastAsia="zh-CN"/>
        </w:rPr>
        <w:t>4.校级</w:t>
      </w:r>
      <w:r>
        <w:rPr>
          <w:rFonts w:hint="eastAsia"/>
          <w:b/>
          <w:bCs/>
          <w:color w:val="auto"/>
          <w:sz w:val="24"/>
          <w:szCs w:val="24"/>
        </w:rPr>
        <w:t>课程思政类项目</w:t>
      </w:r>
      <w:r>
        <w:rPr>
          <w:rFonts w:hint="eastAsia"/>
          <w:color w:val="auto"/>
          <w:sz w:val="24"/>
          <w:szCs w:val="24"/>
        </w:rPr>
        <w:tab/>
      </w:r>
    </w:p>
    <w:p w14:paraId="6B649A6D">
      <w:pPr>
        <w:pageBreakBefore w:val="0"/>
        <w:numPr>
          <w:ilvl w:val="0"/>
          <w:numId w:val="0"/>
        </w:numPr>
        <w:kinsoku/>
        <w:wordWrap/>
        <w:overflowPunct/>
        <w:topLinePunct w:val="0"/>
        <w:autoSpaceDE/>
        <w:autoSpaceDN/>
        <w:bidi w:val="0"/>
        <w:snapToGrid/>
        <w:spacing w:line="360" w:lineRule="auto"/>
        <w:ind w:leftChars="0"/>
        <w:textAlignment w:val="auto"/>
        <w:rPr>
          <w:rFonts w:hint="eastAsia"/>
          <w:color w:val="auto"/>
          <w:sz w:val="24"/>
          <w:szCs w:val="24"/>
        </w:rPr>
      </w:pPr>
      <w:r>
        <w:rPr>
          <w:rFonts w:hint="eastAsia"/>
          <w:color w:val="auto"/>
          <w:sz w:val="24"/>
          <w:szCs w:val="24"/>
          <w:lang w:val="en-US" w:eastAsia="zh-CN"/>
        </w:rPr>
        <w:t>4.1</w:t>
      </w:r>
      <w:r>
        <w:rPr>
          <w:rFonts w:hint="eastAsia"/>
          <w:color w:val="auto"/>
          <w:sz w:val="24"/>
          <w:szCs w:val="24"/>
        </w:rPr>
        <w:t>课程思政典型案例</w:t>
      </w:r>
    </w:p>
    <w:p w14:paraId="06DE58EF">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4.2</w:t>
      </w:r>
      <w:r>
        <w:rPr>
          <w:rFonts w:hint="eastAsia"/>
          <w:color w:val="auto"/>
          <w:sz w:val="24"/>
          <w:szCs w:val="24"/>
        </w:rPr>
        <w:t>课程思政示范课程</w:t>
      </w:r>
    </w:p>
    <w:p w14:paraId="5617B511">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4.3</w:t>
      </w:r>
      <w:r>
        <w:rPr>
          <w:rFonts w:hint="eastAsia"/>
          <w:color w:val="auto"/>
          <w:sz w:val="24"/>
          <w:szCs w:val="24"/>
        </w:rPr>
        <w:t>大中小课程思政一体化示范课程</w:t>
      </w:r>
    </w:p>
    <w:p w14:paraId="205FA5A0">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4.4</w:t>
      </w:r>
      <w:r>
        <w:rPr>
          <w:rFonts w:hint="eastAsia"/>
          <w:color w:val="auto"/>
          <w:sz w:val="24"/>
          <w:szCs w:val="24"/>
        </w:rPr>
        <w:t>课程思政教学名师</w:t>
      </w:r>
    </w:p>
    <w:p w14:paraId="54CDF7DF">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4.5</w:t>
      </w:r>
      <w:r>
        <w:rPr>
          <w:rFonts w:hint="eastAsia"/>
          <w:color w:val="auto"/>
          <w:sz w:val="24"/>
          <w:szCs w:val="24"/>
        </w:rPr>
        <w:t>课程思政教学团队</w:t>
      </w:r>
    </w:p>
    <w:p w14:paraId="328B8977">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4.6</w:t>
      </w:r>
      <w:r>
        <w:rPr>
          <w:rFonts w:hint="eastAsia"/>
          <w:color w:val="auto"/>
          <w:sz w:val="24"/>
          <w:szCs w:val="24"/>
        </w:rPr>
        <w:t>课程思政</w:t>
      </w:r>
      <w:r>
        <w:rPr>
          <w:rFonts w:hint="eastAsia"/>
          <w:color w:val="auto"/>
          <w:sz w:val="24"/>
          <w:szCs w:val="24"/>
          <w:lang w:val="en-US" w:eastAsia="zh-CN"/>
        </w:rPr>
        <w:t>建设</w:t>
      </w:r>
      <w:r>
        <w:rPr>
          <w:rFonts w:hint="eastAsia"/>
          <w:color w:val="auto"/>
          <w:sz w:val="24"/>
          <w:szCs w:val="24"/>
        </w:rPr>
        <w:t>示范中心</w:t>
      </w:r>
    </w:p>
    <w:p w14:paraId="17E79711">
      <w:pPr>
        <w:pageBreakBefore w:val="0"/>
        <w:numPr>
          <w:ilvl w:val="0"/>
          <w:numId w:val="0"/>
        </w:numPr>
        <w:kinsoku/>
        <w:wordWrap/>
        <w:overflowPunct/>
        <w:topLinePunct w:val="0"/>
        <w:autoSpaceDE/>
        <w:autoSpaceDN/>
        <w:bidi w:val="0"/>
        <w:snapToGrid/>
        <w:spacing w:line="360" w:lineRule="auto"/>
        <w:ind w:leftChars="0"/>
        <w:textAlignment w:val="auto"/>
        <w:rPr>
          <w:rFonts w:hint="eastAsia"/>
          <w:b/>
          <w:bCs/>
          <w:color w:val="auto"/>
          <w:sz w:val="24"/>
          <w:szCs w:val="24"/>
        </w:rPr>
      </w:pPr>
      <w:r>
        <w:rPr>
          <w:rFonts w:hint="eastAsia"/>
          <w:b/>
          <w:bCs/>
          <w:color w:val="auto"/>
          <w:sz w:val="24"/>
          <w:szCs w:val="24"/>
          <w:lang w:val="en-US" w:eastAsia="zh-CN"/>
        </w:rPr>
        <w:t>5.校级</w:t>
      </w:r>
      <w:r>
        <w:rPr>
          <w:rFonts w:hint="eastAsia"/>
          <w:b/>
          <w:bCs/>
          <w:color w:val="auto"/>
          <w:sz w:val="24"/>
          <w:szCs w:val="24"/>
        </w:rPr>
        <w:t>师资队伍建设类</w:t>
      </w:r>
      <w:r>
        <w:rPr>
          <w:rFonts w:hint="eastAsia"/>
          <w:b/>
          <w:bCs/>
          <w:color w:val="auto"/>
          <w:sz w:val="24"/>
          <w:szCs w:val="24"/>
        </w:rPr>
        <w:tab/>
      </w:r>
    </w:p>
    <w:p w14:paraId="46BEFDA6">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5.1</w:t>
      </w:r>
      <w:r>
        <w:rPr>
          <w:rFonts w:hint="eastAsia"/>
          <w:color w:val="auto"/>
          <w:sz w:val="24"/>
          <w:szCs w:val="24"/>
        </w:rPr>
        <w:t>教学创新团队</w:t>
      </w:r>
    </w:p>
    <w:p w14:paraId="3A08B923">
      <w:pPr>
        <w:pageBreakBefore w:val="0"/>
        <w:numPr>
          <w:ilvl w:val="0"/>
          <w:numId w:val="0"/>
        </w:numPr>
        <w:kinsoku/>
        <w:wordWrap/>
        <w:overflowPunct/>
        <w:topLinePunct w:val="0"/>
        <w:autoSpaceDE/>
        <w:autoSpaceDN/>
        <w:bidi w:val="0"/>
        <w:snapToGrid/>
        <w:spacing w:line="360" w:lineRule="auto"/>
        <w:ind w:leftChars="0"/>
        <w:textAlignment w:val="auto"/>
        <w:rPr>
          <w:rFonts w:hint="eastAsia"/>
          <w:color w:val="auto"/>
          <w:sz w:val="24"/>
          <w:szCs w:val="24"/>
        </w:rPr>
      </w:pPr>
      <w:r>
        <w:rPr>
          <w:rFonts w:hint="eastAsia"/>
          <w:color w:val="auto"/>
          <w:sz w:val="24"/>
          <w:szCs w:val="24"/>
          <w:lang w:val="en-US" w:eastAsia="zh-CN"/>
        </w:rPr>
        <w:t>5.2</w:t>
      </w:r>
      <w:r>
        <w:rPr>
          <w:rFonts w:hint="eastAsia"/>
          <w:color w:val="auto"/>
          <w:sz w:val="24"/>
          <w:szCs w:val="24"/>
        </w:rPr>
        <w:t>教学名师</w:t>
      </w:r>
    </w:p>
    <w:p w14:paraId="3A2185D6">
      <w:pPr>
        <w:pageBreakBefore w:val="0"/>
        <w:kinsoku/>
        <w:wordWrap/>
        <w:overflowPunct/>
        <w:topLinePunct w:val="0"/>
        <w:autoSpaceDE/>
        <w:autoSpaceDN/>
        <w:bidi w:val="0"/>
        <w:snapToGrid/>
        <w:spacing w:line="360" w:lineRule="auto"/>
        <w:textAlignment w:val="auto"/>
        <w:rPr>
          <w:rFonts w:hint="eastAsia"/>
          <w:color w:val="auto"/>
          <w:sz w:val="24"/>
          <w:szCs w:val="24"/>
        </w:rPr>
      </w:pPr>
      <w:r>
        <w:rPr>
          <w:rFonts w:hint="eastAsia"/>
          <w:color w:val="auto"/>
          <w:sz w:val="24"/>
          <w:szCs w:val="24"/>
          <w:lang w:val="en-US" w:eastAsia="zh-CN"/>
        </w:rPr>
        <w:t>5.3</w:t>
      </w:r>
      <w:r>
        <w:rPr>
          <w:rFonts w:hint="eastAsia"/>
          <w:color w:val="auto"/>
          <w:sz w:val="24"/>
          <w:szCs w:val="24"/>
        </w:rPr>
        <w:t>教坛新秀</w:t>
      </w:r>
    </w:p>
    <w:p w14:paraId="0E06892F">
      <w:pPr>
        <w:pageBreakBefore w:val="0"/>
        <w:numPr>
          <w:ilvl w:val="0"/>
          <w:numId w:val="1"/>
        </w:numPr>
        <w:kinsoku/>
        <w:wordWrap/>
        <w:overflowPunct/>
        <w:topLinePunct w:val="0"/>
        <w:autoSpaceDE/>
        <w:autoSpaceDN/>
        <w:bidi w:val="0"/>
        <w:snapToGrid/>
        <w:spacing w:line="360" w:lineRule="auto"/>
        <w:textAlignment w:val="auto"/>
        <w:rPr>
          <w:rFonts w:hint="eastAsia"/>
          <w:b/>
          <w:bCs/>
          <w:color w:val="auto"/>
          <w:sz w:val="24"/>
          <w:szCs w:val="24"/>
        </w:rPr>
      </w:pPr>
      <w:r>
        <w:rPr>
          <w:rFonts w:hint="eastAsia"/>
          <w:b/>
          <w:bCs/>
          <w:color w:val="auto"/>
          <w:sz w:val="24"/>
          <w:szCs w:val="24"/>
        </w:rPr>
        <w:t>校级一流专业培育项目</w:t>
      </w:r>
    </w:p>
    <w:p w14:paraId="27B35DF5">
      <w:pPr>
        <w:pageBreakBefore w:val="0"/>
        <w:numPr>
          <w:ilvl w:val="0"/>
          <w:numId w:val="1"/>
        </w:numPr>
        <w:kinsoku/>
        <w:wordWrap/>
        <w:overflowPunct/>
        <w:topLinePunct w:val="0"/>
        <w:autoSpaceDE/>
        <w:autoSpaceDN/>
        <w:bidi w:val="0"/>
        <w:snapToGrid/>
        <w:spacing w:line="360" w:lineRule="auto"/>
        <w:textAlignment w:val="auto"/>
        <w:rPr>
          <w:rFonts w:hint="eastAsia"/>
          <w:b/>
          <w:bCs/>
          <w:color w:val="auto"/>
          <w:sz w:val="24"/>
          <w:szCs w:val="24"/>
        </w:rPr>
      </w:pPr>
      <w:r>
        <w:rPr>
          <w:rFonts w:hint="eastAsia"/>
          <w:b/>
          <w:bCs/>
          <w:color w:val="auto"/>
          <w:sz w:val="24"/>
          <w:szCs w:val="24"/>
          <w:lang w:val="en-US" w:eastAsia="zh-CN"/>
        </w:rPr>
        <w:t>数字化教材项目</w:t>
      </w:r>
    </w:p>
    <w:p w14:paraId="4AFA37B1">
      <w:pPr>
        <w:pageBreakBefore w:val="0"/>
        <w:numPr>
          <w:ilvl w:val="0"/>
          <w:numId w:val="0"/>
        </w:numPr>
        <w:kinsoku/>
        <w:wordWrap/>
        <w:overflowPunct/>
        <w:topLinePunct w:val="0"/>
        <w:autoSpaceDE/>
        <w:autoSpaceDN/>
        <w:bidi w:val="0"/>
        <w:snapToGrid/>
        <w:spacing w:line="360" w:lineRule="auto"/>
        <w:textAlignment w:val="auto"/>
        <w:rPr>
          <w:rFonts w:hint="eastAsia"/>
          <w:color w:val="auto"/>
        </w:rPr>
      </w:pPr>
    </w:p>
    <w:p w14:paraId="24136AB2">
      <w:pPr>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color w:val="auto"/>
        </w:rPr>
      </w:pPr>
    </w:p>
    <w:p w14:paraId="0F076031">
      <w:pPr>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color w:val="auto"/>
        </w:rPr>
      </w:pPr>
    </w:p>
    <w:p w14:paraId="42C057B6">
      <w:pPr>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color w:val="auto"/>
        </w:rPr>
      </w:pPr>
    </w:p>
    <w:p w14:paraId="0933AD67">
      <w:pPr>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color w:val="auto"/>
        </w:rPr>
      </w:pPr>
    </w:p>
    <w:p w14:paraId="4E76F14D">
      <w:pPr>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color w:val="auto"/>
        </w:rPr>
      </w:pPr>
    </w:p>
    <w:p w14:paraId="611109A2">
      <w:pPr>
        <w:pStyle w:val="2"/>
        <w:pageBreakBefore w:val="0"/>
        <w:kinsoku/>
        <w:wordWrap/>
        <w:overflowPunct/>
        <w:topLinePunct w:val="0"/>
        <w:autoSpaceDE/>
        <w:autoSpaceDN/>
        <w:bidi w:val="0"/>
        <w:snapToGrid/>
        <w:spacing w:line="360" w:lineRule="auto"/>
        <w:textAlignment w:val="auto"/>
        <w:rPr>
          <w:rFonts w:ascii="仿宋" w:hAnsi="仿宋" w:eastAsia="仿宋"/>
          <w:b/>
          <w:color w:val="auto"/>
          <w:kern w:val="0"/>
          <w:sz w:val="36"/>
          <w:szCs w:val="36"/>
        </w:rPr>
      </w:pPr>
      <w:r>
        <w:rPr>
          <w:rFonts w:hint="eastAsia" w:ascii="仿宋" w:hAnsi="仿宋" w:eastAsia="仿宋"/>
          <w:b/>
          <w:color w:val="auto"/>
          <w:kern w:val="0"/>
          <w:sz w:val="36"/>
          <w:szCs w:val="36"/>
        </w:rPr>
        <w:t>1</w:t>
      </w:r>
      <w:r>
        <w:rPr>
          <w:rFonts w:hint="eastAsia" w:ascii="仿宋" w:hAnsi="仿宋" w:eastAsia="仿宋"/>
          <w:b/>
          <w:color w:val="auto"/>
          <w:kern w:val="0"/>
          <w:sz w:val="36"/>
          <w:szCs w:val="36"/>
        </w:rPr>
        <w:tab/>
      </w:r>
      <w:r>
        <w:rPr>
          <w:rFonts w:hint="eastAsia" w:ascii="仿宋" w:hAnsi="仿宋" w:eastAsia="仿宋"/>
          <w:b/>
          <w:color w:val="auto"/>
          <w:kern w:val="0"/>
          <w:sz w:val="36"/>
          <w:szCs w:val="36"/>
          <w:lang w:val="en-US" w:eastAsia="zh-CN"/>
        </w:rPr>
        <w:t xml:space="preserve"> </w:t>
      </w:r>
      <w:r>
        <w:rPr>
          <w:rFonts w:hint="eastAsia" w:ascii="仿宋" w:hAnsi="仿宋" w:eastAsia="仿宋"/>
          <w:b/>
          <w:color w:val="auto"/>
          <w:kern w:val="0"/>
          <w:sz w:val="36"/>
          <w:szCs w:val="36"/>
        </w:rPr>
        <w:t>教育教学研究项目</w:t>
      </w:r>
    </w:p>
    <w:p w14:paraId="7A9F6141">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kern w:val="0"/>
          <w:sz w:val="24"/>
          <w:szCs w:val="44"/>
        </w:rPr>
      </w:pPr>
      <w:r>
        <w:rPr>
          <w:rFonts w:hint="eastAsia" w:ascii="宋体" w:hAnsi="宋体" w:eastAsia="宋体" w:cs="宋体"/>
          <w:b/>
          <w:bCs/>
          <w:color w:val="auto"/>
          <w:kern w:val="0"/>
          <w:sz w:val="24"/>
          <w:szCs w:val="44"/>
        </w:rPr>
        <w:t>建设目标：</w:t>
      </w:r>
      <w:r>
        <w:rPr>
          <w:rFonts w:hint="eastAsia" w:ascii="宋体" w:hAnsi="宋体" w:eastAsia="宋体" w:cs="宋体"/>
          <w:color w:val="auto"/>
          <w:kern w:val="0"/>
          <w:sz w:val="24"/>
          <w:szCs w:val="44"/>
        </w:rPr>
        <w:t>聚焦党的二十大对教育的重大决策部署，通过项目建设研究，深入推进“为谁培养人、培养什么人、怎么培养人”，深刻把握高等教育作为社会主义现代化强国重要支撑和基础工程的特殊意义、特殊价值，强化理论、实践研究，提出思路举措，推进高等教育重大问题的解决取得突破，推动各项决策部署落地生效，助推人才培养能力持续提高，助力高等教育高质量内涵式发展。</w:t>
      </w:r>
    </w:p>
    <w:p w14:paraId="5BC6B556">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kern w:val="0"/>
          <w:sz w:val="22"/>
          <w:szCs w:val="40"/>
        </w:rPr>
      </w:pPr>
      <w:r>
        <w:rPr>
          <w:rFonts w:hint="eastAsia" w:ascii="宋体" w:hAnsi="宋体" w:eastAsia="宋体" w:cs="宋体"/>
          <w:b/>
          <w:bCs/>
          <w:color w:val="auto"/>
          <w:kern w:val="0"/>
          <w:sz w:val="24"/>
          <w:szCs w:val="44"/>
          <w:lang w:val="en-US" w:eastAsia="zh-CN"/>
        </w:rPr>
        <w:t>建设内容</w:t>
      </w:r>
      <w:r>
        <w:rPr>
          <w:rFonts w:hint="eastAsia" w:ascii="宋体" w:hAnsi="宋体" w:eastAsia="宋体" w:cs="宋体"/>
          <w:b/>
          <w:bCs/>
          <w:color w:val="auto"/>
          <w:kern w:val="0"/>
          <w:sz w:val="24"/>
          <w:szCs w:val="44"/>
        </w:rPr>
        <w:t>：</w:t>
      </w:r>
    </w:p>
    <w:p w14:paraId="15480158">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4"/>
          <w:lang w:eastAsia="zh-CN"/>
        </w:rPr>
      </w:pPr>
      <w:r>
        <w:rPr>
          <w:rFonts w:hint="eastAsia" w:ascii="楷体" w:hAnsi="楷体" w:eastAsia="楷体" w:cs="楷体"/>
          <w:b w:val="0"/>
          <w:bCs w:val="0"/>
          <w:color w:val="auto"/>
          <w:kern w:val="0"/>
          <w:sz w:val="24"/>
          <w:szCs w:val="44"/>
          <w:lang w:val="en-US" w:eastAsia="zh-CN"/>
        </w:rPr>
        <w:t>1.</w:t>
      </w:r>
      <w:r>
        <w:rPr>
          <w:rFonts w:hint="eastAsia" w:ascii="楷体" w:hAnsi="楷体" w:eastAsia="楷体" w:cs="楷体"/>
          <w:b w:val="0"/>
          <w:bCs w:val="0"/>
          <w:color w:val="auto"/>
          <w:kern w:val="0"/>
          <w:sz w:val="24"/>
          <w:szCs w:val="44"/>
          <w:lang w:eastAsia="zh-CN"/>
        </w:rPr>
        <w:t>教学研究项目（</w:t>
      </w:r>
      <w:r>
        <w:rPr>
          <w:rFonts w:hint="eastAsia" w:ascii="楷体" w:hAnsi="楷体" w:eastAsia="楷体" w:cs="楷体"/>
          <w:b w:val="0"/>
          <w:bCs w:val="0"/>
          <w:color w:val="auto"/>
          <w:kern w:val="0"/>
          <w:sz w:val="24"/>
          <w:szCs w:val="44"/>
          <w:lang w:val="en-US" w:eastAsia="zh-CN"/>
        </w:rPr>
        <w:t>分为重点和一般</w:t>
      </w:r>
      <w:r>
        <w:rPr>
          <w:rFonts w:hint="eastAsia" w:ascii="楷体" w:hAnsi="楷体" w:eastAsia="楷体" w:cs="楷体"/>
          <w:b w:val="0"/>
          <w:bCs w:val="0"/>
          <w:color w:val="auto"/>
          <w:kern w:val="0"/>
          <w:sz w:val="24"/>
          <w:szCs w:val="44"/>
          <w:lang w:eastAsia="zh-CN"/>
        </w:rPr>
        <w:t>）。</w:t>
      </w:r>
      <w:r>
        <w:rPr>
          <w:rFonts w:hint="eastAsia" w:ascii="宋体" w:hAnsi="宋体" w:eastAsia="宋体" w:cs="宋体"/>
          <w:color w:val="auto"/>
          <w:kern w:val="0"/>
          <w:sz w:val="24"/>
          <w:szCs w:val="44"/>
          <w:lang w:eastAsia="zh-CN"/>
        </w:rPr>
        <w:t>应体现现代教育思想，具有科学性、创新性、前瞻性和实践性。加强对高等教育发展与人才培养战略、人才培养体制与模式、专业改革与专业建设、课程体系与教学内容、教学手段与方法、线上教学模式、教学管理与教学基本建设、师资队伍建设等方面的研究与实践。优先立项课程教学重难点问题和教学方法改革创新、人才培养能力、各教学环节质量标准、质量保障与监控体系、课程评估、专业评估（认证）等方面的研究与实践。</w:t>
      </w:r>
    </w:p>
    <w:p w14:paraId="33B91676">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kern w:val="0"/>
          <w:sz w:val="24"/>
          <w:szCs w:val="44"/>
          <w:lang w:val="en-US" w:eastAsia="zh-CN"/>
        </w:rPr>
      </w:pPr>
      <w:r>
        <w:rPr>
          <w:rFonts w:hint="eastAsia" w:ascii="楷体" w:hAnsi="楷体" w:eastAsia="楷体" w:cs="楷体"/>
          <w:b w:val="0"/>
          <w:bCs w:val="0"/>
          <w:color w:val="auto"/>
          <w:kern w:val="0"/>
          <w:sz w:val="24"/>
          <w:szCs w:val="44"/>
          <w:lang w:val="en-US" w:eastAsia="zh-CN"/>
        </w:rPr>
        <w:t>2.思想政治理论课教研项目（分为重点和一般）。</w:t>
      </w:r>
      <w:r>
        <w:rPr>
          <w:rFonts w:hint="eastAsia" w:ascii="宋体" w:hAnsi="宋体" w:eastAsia="宋体" w:cs="宋体"/>
          <w:color w:val="auto"/>
          <w:kern w:val="0"/>
          <w:sz w:val="24"/>
          <w:szCs w:val="44"/>
          <w:lang w:val="en-US" w:eastAsia="zh-CN"/>
        </w:rPr>
        <w:t>要求针对高校思想政治理论课教学重点难点、教学方法改革创新、教学中的理论与实践问题等进行深入研究。申请者必须是从事思想政治教育的专兼职教师，实际从事思想政治理论课教学、研究工作并真正承担和负责组织项目的实施。</w:t>
      </w:r>
    </w:p>
    <w:p w14:paraId="639EF8BA">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rPr>
      </w:pPr>
      <w:r>
        <w:rPr>
          <w:rFonts w:hint="eastAsia" w:ascii="宋体" w:hAnsi="宋体" w:eastAsia="宋体" w:cs="宋体"/>
          <w:b/>
          <w:bCs/>
          <w:color w:val="auto"/>
          <w:kern w:val="0"/>
          <w:sz w:val="24"/>
          <w:szCs w:val="44"/>
        </w:rPr>
        <w:t>申报条件：</w:t>
      </w:r>
    </w:p>
    <w:p w14:paraId="2A752950">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0"/>
          <w:lang w:bidi="ar"/>
        </w:rPr>
      </w:pPr>
      <w:r>
        <w:rPr>
          <w:rFonts w:hint="eastAsia" w:ascii="宋体" w:hAnsi="宋体" w:cs="宋体"/>
          <w:color w:val="auto"/>
          <w:kern w:val="0"/>
          <w:sz w:val="24"/>
          <w:szCs w:val="40"/>
          <w:lang w:val="en-US" w:eastAsia="zh-CN" w:bidi="ar"/>
        </w:rPr>
        <w:t>1.</w:t>
      </w:r>
      <w:r>
        <w:rPr>
          <w:rFonts w:hint="eastAsia" w:ascii="宋体" w:hAnsi="宋体" w:eastAsia="宋体" w:cs="宋体"/>
          <w:color w:val="auto"/>
          <w:kern w:val="0"/>
          <w:sz w:val="24"/>
          <w:szCs w:val="40"/>
          <w:lang w:bidi="ar"/>
        </w:rPr>
        <w:t>申报人要做到岗责相符，选题设计要聚焦研究课程建设、教学方法改革、教学技能提高、教师能力发展等微观教育教学问题</w:t>
      </w:r>
      <w:r>
        <w:rPr>
          <w:rFonts w:hint="eastAsia" w:ascii="宋体" w:hAnsi="宋体" w:cs="宋体"/>
          <w:color w:val="auto"/>
          <w:kern w:val="0"/>
          <w:sz w:val="24"/>
          <w:szCs w:val="40"/>
          <w:lang w:eastAsia="zh-CN" w:bidi="ar"/>
        </w:rPr>
        <w:t>。</w:t>
      </w:r>
    </w:p>
    <w:p w14:paraId="0811A0FA">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kern w:val="0"/>
          <w:sz w:val="24"/>
          <w:szCs w:val="44"/>
          <w:lang w:eastAsia="zh-CN"/>
        </w:rPr>
      </w:pPr>
      <w:r>
        <w:rPr>
          <w:rFonts w:hint="eastAsia" w:ascii="宋体" w:hAnsi="宋体" w:cs="宋体"/>
          <w:color w:val="auto"/>
          <w:kern w:val="0"/>
          <w:sz w:val="24"/>
          <w:szCs w:val="44"/>
          <w:lang w:val="en-US" w:eastAsia="zh-CN"/>
        </w:rPr>
        <w:t>2.</w:t>
      </w:r>
      <w:r>
        <w:rPr>
          <w:rFonts w:hint="eastAsia" w:ascii="宋体" w:hAnsi="宋体" w:eastAsia="宋体" w:cs="宋体"/>
          <w:color w:val="auto"/>
          <w:kern w:val="0"/>
          <w:sz w:val="24"/>
          <w:szCs w:val="44"/>
        </w:rPr>
        <w:t>重点教育教学改革研究项目应侧重于“五育并举”人才培养体系建设、高等教育评估评价、质量保障体系建设等方向；一般教育教学改革研究项目应侧重于课程思政建设、教学要素功能发挥、教学过程评价、教学模式创新等方面</w:t>
      </w:r>
      <w:r>
        <w:rPr>
          <w:rFonts w:hint="eastAsia" w:ascii="宋体" w:hAnsi="宋体" w:cs="宋体"/>
          <w:color w:val="auto"/>
          <w:kern w:val="0"/>
          <w:sz w:val="24"/>
          <w:szCs w:val="44"/>
          <w:lang w:eastAsia="zh-CN"/>
        </w:rPr>
        <w:t>。</w:t>
      </w:r>
    </w:p>
    <w:p w14:paraId="23643223">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4"/>
        </w:rPr>
      </w:pPr>
      <w:r>
        <w:rPr>
          <w:rFonts w:hint="eastAsia" w:ascii="宋体" w:hAnsi="宋体" w:cs="宋体"/>
          <w:color w:val="auto"/>
          <w:kern w:val="0"/>
          <w:sz w:val="24"/>
          <w:szCs w:val="44"/>
          <w:lang w:val="en-US" w:eastAsia="zh-CN"/>
        </w:rPr>
        <w:t>3.</w:t>
      </w:r>
      <w:r>
        <w:rPr>
          <w:rFonts w:hint="eastAsia" w:ascii="宋体" w:hAnsi="宋体" w:eastAsia="宋体" w:cs="宋体"/>
          <w:color w:val="auto"/>
          <w:kern w:val="0"/>
          <w:sz w:val="24"/>
          <w:szCs w:val="44"/>
        </w:rPr>
        <w:t>符合社会经济发展需求，对标我省十大新兴产业发展布局，统筹推进“产业、专业、就业”一体化发展。注重系统研究、整体优化、综合实践，具有一定应用推广性</w:t>
      </w:r>
      <w:r>
        <w:rPr>
          <w:rFonts w:hint="eastAsia" w:ascii="宋体" w:hAnsi="宋体" w:cs="宋体"/>
          <w:color w:val="auto"/>
          <w:kern w:val="0"/>
          <w:sz w:val="24"/>
          <w:szCs w:val="44"/>
          <w:lang w:eastAsia="zh-CN"/>
        </w:rPr>
        <w:t>。</w:t>
      </w:r>
    </w:p>
    <w:p w14:paraId="066E58E7">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4"/>
        </w:rPr>
      </w:pPr>
      <w:r>
        <w:rPr>
          <w:rFonts w:hint="eastAsia" w:ascii="宋体" w:hAnsi="宋体" w:cs="宋体"/>
          <w:color w:val="auto"/>
          <w:kern w:val="0"/>
          <w:sz w:val="24"/>
          <w:szCs w:val="44"/>
          <w:lang w:val="en-US" w:eastAsia="zh-CN"/>
        </w:rPr>
        <w:t>4.</w:t>
      </w:r>
      <w:r>
        <w:rPr>
          <w:rFonts w:hint="eastAsia" w:ascii="宋体" w:hAnsi="宋体" w:eastAsia="宋体" w:cs="宋体"/>
          <w:color w:val="auto"/>
          <w:kern w:val="0"/>
          <w:sz w:val="24"/>
          <w:szCs w:val="44"/>
        </w:rPr>
        <w:t>已获得</w:t>
      </w:r>
      <w:r>
        <w:rPr>
          <w:rFonts w:hint="eastAsia" w:ascii="宋体" w:hAnsi="宋体" w:eastAsia="宋体" w:cs="宋体"/>
          <w:color w:val="auto"/>
          <w:kern w:val="0"/>
          <w:sz w:val="24"/>
          <w:szCs w:val="44"/>
          <w:lang w:val="en-US" w:eastAsia="zh-CN"/>
        </w:rPr>
        <w:t>校</w:t>
      </w:r>
      <w:r>
        <w:rPr>
          <w:rFonts w:hint="eastAsia" w:ascii="宋体" w:hAnsi="宋体" w:eastAsia="宋体" w:cs="宋体"/>
          <w:color w:val="auto"/>
          <w:kern w:val="0"/>
          <w:sz w:val="24"/>
          <w:szCs w:val="44"/>
        </w:rPr>
        <w:t>级及</w:t>
      </w:r>
      <w:bookmarkStart w:id="78" w:name="_GoBack"/>
      <w:r>
        <w:rPr>
          <w:rFonts w:hint="eastAsia" w:ascii="宋体" w:hAnsi="宋体" w:eastAsia="宋体" w:cs="宋体"/>
          <w:color w:val="auto"/>
          <w:kern w:val="0"/>
          <w:sz w:val="24"/>
          <w:szCs w:val="44"/>
        </w:rPr>
        <w:t>以上</w:t>
      </w:r>
      <w:bookmarkEnd w:id="78"/>
      <w:r>
        <w:rPr>
          <w:rFonts w:hint="eastAsia" w:ascii="宋体" w:hAnsi="宋体" w:eastAsia="宋体" w:cs="宋体"/>
          <w:color w:val="auto"/>
          <w:kern w:val="0"/>
          <w:sz w:val="24"/>
          <w:szCs w:val="44"/>
        </w:rPr>
        <w:t>立项的相关课题不得重复申报。</w:t>
      </w:r>
    </w:p>
    <w:p w14:paraId="4E9E66A7">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4"/>
        </w:rPr>
      </w:pPr>
      <w:r>
        <w:rPr>
          <w:rFonts w:hint="eastAsia" w:ascii="宋体" w:hAnsi="宋体" w:cs="宋体"/>
          <w:color w:val="auto"/>
          <w:kern w:val="0"/>
          <w:sz w:val="24"/>
          <w:szCs w:val="44"/>
          <w:lang w:val="en-US" w:eastAsia="zh-CN"/>
        </w:rPr>
        <w:t>5.项目负责人所承担的校级及以上教学研究项目无延期建设现象，均已按规定程序结题。</w:t>
      </w:r>
    </w:p>
    <w:p w14:paraId="5901986A">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kern w:val="0"/>
          <w:sz w:val="24"/>
          <w:szCs w:val="40"/>
          <w:lang w:bidi="ar"/>
        </w:rPr>
      </w:pPr>
      <w:r>
        <w:rPr>
          <w:rFonts w:hint="eastAsia" w:ascii="宋体" w:hAnsi="宋体" w:eastAsia="宋体" w:cs="宋体"/>
          <w:b/>
          <w:bCs/>
          <w:color w:val="auto"/>
          <w:kern w:val="0"/>
          <w:sz w:val="24"/>
          <w:szCs w:val="44"/>
        </w:rPr>
        <w:t>建设周期：</w:t>
      </w:r>
      <w:r>
        <w:rPr>
          <w:rFonts w:hint="eastAsia" w:ascii="宋体" w:hAnsi="宋体" w:cs="宋体"/>
          <w:color w:val="auto"/>
          <w:kern w:val="0"/>
          <w:sz w:val="24"/>
          <w:szCs w:val="40"/>
          <w:lang w:val="en-US" w:eastAsia="zh-CN" w:bidi="ar"/>
        </w:rPr>
        <w:t>1</w:t>
      </w:r>
      <w:r>
        <w:rPr>
          <w:rFonts w:hint="eastAsia" w:ascii="宋体" w:hAnsi="宋体" w:eastAsia="宋体" w:cs="宋体"/>
          <w:color w:val="auto"/>
          <w:kern w:val="0"/>
          <w:sz w:val="24"/>
          <w:szCs w:val="40"/>
          <w:lang w:bidi="ar"/>
        </w:rPr>
        <w:t>年</w:t>
      </w:r>
    </w:p>
    <w:p w14:paraId="58182DF0">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kern w:val="0"/>
          <w:sz w:val="24"/>
          <w:szCs w:val="40"/>
          <w:lang w:eastAsia="zh-CN" w:bidi="ar"/>
        </w:rPr>
      </w:pPr>
      <w:r>
        <w:rPr>
          <w:rFonts w:hint="eastAsia" w:ascii="宋体" w:hAnsi="宋体" w:cs="宋体"/>
          <w:b/>
          <w:bCs/>
          <w:color w:val="auto"/>
          <w:kern w:val="0"/>
          <w:sz w:val="24"/>
          <w:szCs w:val="44"/>
          <w:lang w:val="en-US" w:eastAsia="zh-CN"/>
        </w:rPr>
        <w:t>验收</w:t>
      </w:r>
      <w:r>
        <w:rPr>
          <w:rFonts w:hint="eastAsia" w:ascii="宋体" w:hAnsi="宋体" w:eastAsia="宋体" w:cs="宋体"/>
          <w:b/>
          <w:bCs/>
          <w:color w:val="auto"/>
          <w:kern w:val="0"/>
          <w:sz w:val="24"/>
          <w:szCs w:val="44"/>
        </w:rPr>
        <w:t>标准：</w:t>
      </w:r>
      <w:r>
        <w:rPr>
          <w:rFonts w:hint="eastAsia" w:ascii="宋体" w:hAnsi="宋体" w:eastAsia="宋体" w:cs="宋体"/>
          <w:color w:val="auto"/>
          <w:kern w:val="0"/>
          <w:sz w:val="24"/>
          <w:szCs w:val="40"/>
          <w:lang w:bidi="ar"/>
        </w:rPr>
        <w:t>完成项目研究任务，项目负责人作为第一作者公开发表带有项目编号的相关教研论文，其中重点项目至少公开发表1篇三类，一般项目至少公开发表教研论文1篇</w:t>
      </w:r>
      <w:r>
        <w:rPr>
          <w:rFonts w:hint="eastAsia" w:ascii="宋体" w:hAnsi="宋体" w:cs="宋体"/>
          <w:color w:val="auto"/>
          <w:kern w:val="0"/>
          <w:sz w:val="24"/>
          <w:szCs w:val="40"/>
          <w:lang w:eastAsia="zh-CN" w:bidi="ar"/>
        </w:rPr>
        <w:t>。</w:t>
      </w:r>
    </w:p>
    <w:p w14:paraId="5E604C41">
      <w:pPr>
        <w:pStyle w:val="2"/>
        <w:pageBreakBefore w:val="0"/>
        <w:kinsoku/>
        <w:wordWrap/>
        <w:overflowPunct/>
        <w:topLinePunct w:val="0"/>
        <w:autoSpaceDE/>
        <w:autoSpaceDN/>
        <w:bidi w:val="0"/>
        <w:snapToGrid/>
        <w:spacing w:line="360" w:lineRule="auto"/>
        <w:textAlignment w:val="auto"/>
        <w:rPr>
          <w:rFonts w:hint="eastAsia" w:ascii="仿宋" w:hAnsi="仿宋" w:eastAsia="仿宋"/>
          <w:b/>
          <w:color w:val="auto"/>
          <w:kern w:val="0"/>
          <w:sz w:val="36"/>
          <w:szCs w:val="36"/>
          <w:lang w:val="en-US" w:eastAsia="zh-CN"/>
        </w:rPr>
      </w:pPr>
    </w:p>
    <w:p w14:paraId="11C85386">
      <w:pPr>
        <w:pStyle w:val="2"/>
        <w:pageBreakBefore w:val="0"/>
        <w:kinsoku/>
        <w:wordWrap/>
        <w:overflowPunct/>
        <w:topLinePunct w:val="0"/>
        <w:autoSpaceDE/>
        <w:autoSpaceDN/>
        <w:bidi w:val="0"/>
        <w:snapToGrid/>
        <w:spacing w:line="360" w:lineRule="auto"/>
        <w:textAlignment w:val="auto"/>
        <w:rPr>
          <w:rFonts w:hint="eastAsia" w:ascii="仿宋" w:hAnsi="仿宋" w:eastAsia="仿宋"/>
          <w:b/>
          <w:color w:val="auto"/>
          <w:kern w:val="0"/>
          <w:sz w:val="36"/>
          <w:szCs w:val="36"/>
          <w:lang w:val="en-US" w:eastAsia="zh-CN"/>
        </w:rPr>
      </w:pPr>
      <w:r>
        <w:rPr>
          <w:rFonts w:hint="eastAsia" w:ascii="仿宋" w:hAnsi="仿宋" w:eastAsia="仿宋"/>
          <w:b/>
          <w:color w:val="auto"/>
          <w:kern w:val="0"/>
          <w:sz w:val="36"/>
          <w:szCs w:val="36"/>
          <w:lang w:val="en-US" w:eastAsia="zh-CN"/>
        </w:rPr>
        <w:t>2  课程建设类项目</w:t>
      </w:r>
    </w:p>
    <w:p w14:paraId="1E3A966F">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8"/>
          <w:szCs w:val="28"/>
          <w:lang w:val="en-US" w:eastAsia="zh-CN" w:bidi="ar-SA"/>
        </w:rPr>
      </w:pPr>
      <w:bookmarkStart w:id="25" w:name="_Toc117584308"/>
      <w:bookmarkStart w:id="26" w:name="_Toc147652329"/>
      <w:bookmarkStart w:id="27" w:name="_Toc12144"/>
      <w:bookmarkStart w:id="28" w:name="_Toc13480"/>
      <w:bookmarkStart w:id="29" w:name="_Toc16598"/>
      <w:bookmarkStart w:id="30" w:name="_Toc49108508"/>
      <w:bookmarkStart w:id="31" w:name="_Toc20806"/>
      <w:bookmarkStart w:id="32" w:name="_Toc4040"/>
      <w:bookmarkStart w:id="33" w:name="_Toc19202"/>
      <w:bookmarkStart w:id="34" w:name="_Toc16370"/>
      <w:bookmarkStart w:id="35" w:name="_Toc647"/>
      <w:r>
        <w:rPr>
          <w:rFonts w:hint="eastAsia" w:ascii="宋体" w:hAnsi="宋体" w:cs="Times New Roman"/>
          <w:b/>
          <w:bCs/>
          <w:color w:val="auto"/>
          <w:kern w:val="2"/>
          <w:sz w:val="28"/>
          <w:szCs w:val="28"/>
          <w:lang w:val="en-US" w:eastAsia="zh-CN" w:bidi="ar-SA"/>
        </w:rPr>
        <w:t>2</w:t>
      </w:r>
      <w:r>
        <w:rPr>
          <w:rFonts w:hint="eastAsia" w:ascii="宋体" w:hAnsi="宋体" w:eastAsia="宋体" w:cs="Times New Roman"/>
          <w:b/>
          <w:bCs/>
          <w:color w:val="auto"/>
          <w:kern w:val="2"/>
          <w:sz w:val="28"/>
          <w:szCs w:val="28"/>
          <w:lang w:val="en-US" w:eastAsia="zh-CN" w:bidi="ar-SA"/>
        </w:rPr>
        <w:t>.1线上课程</w:t>
      </w:r>
      <w:bookmarkEnd w:id="25"/>
      <w:bookmarkEnd w:id="26"/>
      <w:bookmarkEnd w:id="27"/>
      <w:bookmarkEnd w:id="28"/>
      <w:bookmarkEnd w:id="29"/>
    </w:p>
    <w:p w14:paraId="1FF2B44E">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bookmarkStart w:id="36" w:name="_Toc21339"/>
      <w:r>
        <w:rPr>
          <w:rFonts w:hint="eastAsia" w:ascii="宋体" w:hAnsi="宋体" w:eastAsia="宋体" w:cs="宋体"/>
          <w:b/>
          <w:bCs/>
          <w:color w:val="auto"/>
          <w:kern w:val="0"/>
          <w:sz w:val="24"/>
          <w:szCs w:val="44"/>
          <w:lang w:val="en-US" w:eastAsia="zh-CN"/>
        </w:rPr>
        <w:t>建设目标：</w:t>
      </w:r>
      <w:r>
        <w:rPr>
          <w:rFonts w:hint="eastAsia"/>
          <w:color w:val="auto"/>
          <w:sz w:val="24"/>
          <w:szCs w:val="24"/>
          <w:lang w:val="en-US" w:eastAsia="zh-CN"/>
        </w:rPr>
        <w:t>通过互联网技术与应用的云端开放式课程教育平台，更新教育理念、拓展教学时空、丰富教学内容、创新教学活动、变革教学手段、改进教学方法，进一步推动我省线上课程建设与应用共享，优化教学资源，提高高等教育教学质量，服务学习型社会建设。建设标准应参照省级大规模在线开放课程（MOOC）示范项目管理办法。</w:t>
      </w:r>
    </w:p>
    <w:p w14:paraId="689959FD">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37447325">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申报课程应已连续开设2个教学周期及以上。鼓励申报量大面广的公共基础课、专业基础课、专业核心课。鼓励申报体现多学科思维融合、产业技术与学科理论融合、跨专业能力融合、多学科项目实践融合的新工科、新文科等高水平课程；鼓励申报有利于对外传播的双语课程。</w:t>
      </w:r>
    </w:p>
    <w:p w14:paraId="42A1B2DF">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2.课程负责人须为具有讲师及以上职称或博士学位的教师，团队主要成员须为教务系统显示授课教师。</w:t>
      </w:r>
    </w:p>
    <w:p w14:paraId="06EEDB83">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default"/>
          <w:color w:val="auto"/>
          <w:sz w:val="24"/>
          <w:szCs w:val="24"/>
          <w:lang w:val="en-US" w:eastAsia="zh-CN"/>
        </w:rPr>
        <w:t>3.课程负责人</w:t>
      </w:r>
      <w:r>
        <w:rPr>
          <w:rFonts w:hint="eastAsia"/>
          <w:color w:val="auto"/>
          <w:sz w:val="24"/>
          <w:szCs w:val="24"/>
          <w:lang w:val="en-US" w:eastAsia="zh-CN"/>
        </w:rPr>
        <w:t>应承诺申报材料的真实性，课程内容规范完整，体现前沿性和时代性，无危害国家安全、涉密及其他不适宜网络公开传播的内容，引用的课程资源要注明来源，无侵犯他人知识产权内容。</w:t>
      </w:r>
    </w:p>
    <w:p w14:paraId="30CB7206">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6D6ADB89">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验收标准：</w:t>
      </w:r>
      <w:r>
        <w:rPr>
          <w:rFonts w:hint="eastAsia"/>
          <w:color w:val="auto"/>
          <w:sz w:val="24"/>
          <w:szCs w:val="24"/>
          <w:lang w:val="en-US" w:eastAsia="zh-CN"/>
        </w:rPr>
        <w:t>通过课程建设，在项目结项时需达到省级一流课程标准（见表1），或达到国家级一流课程标准。</w:t>
      </w:r>
    </w:p>
    <w:p w14:paraId="66C8AC7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p>
    <w:p w14:paraId="7520F650">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p>
    <w:p w14:paraId="64FB69C0">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p>
    <w:p w14:paraId="2EFDFE66">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jc w:val="center"/>
        <w:textAlignment w:val="auto"/>
        <w:rPr>
          <w:color w:val="auto"/>
        </w:rPr>
      </w:pPr>
      <w:r>
        <w:rPr>
          <w:rFonts w:hint="eastAsia" w:eastAsia="楷体"/>
          <w:color w:val="auto"/>
          <w:sz w:val="24"/>
          <w:szCs w:val="24"/>
          <w:lang w:val="en-US" w:eastAsia="zh-CN"/>
        </w:rPr>
        <w:t>表 1：校级线上课程验收标准</w:t>
      </w:r>
    </w:p>
    <w:tbl>
      <w:tblPr>
        <w:tblStyle w:val="11"/>
        <w:tblW w:w="94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277"/>
        <w:gridCol w:w="6866"/>
      </w:tblGrid>
      <w:tr w14:paraId="480D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1276" w:type="dxa"/>
          </w:tcPr>
          <w:p w14:paraId="7E952AF3">
            <w:pPr>
              <w:spacing w:before="124" w:line="218" w:lineRule="auto"/>
              <w:ind w:left="173"/>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一级指标</w:t>
            </w:r>
          </w:p>
        </w:tc>
        <w:tc>
          <w:tcPr>
            <w:tcW w:w="1277" w:type="dxa"/>
          </w:tcPr>
          <w:p w14:paraId="01D4EE2D">
            <w:pPr>
              <w:spacing w:before="124" w:line="218" w:lineRule="auto"/>
              <w:ind w:left="175"/>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二</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级指标</w:t>
            </w:r>
          </w:p>
        </w:tc>
        <w:tc>
          <w:tcPr>
            <w:tcW w:w="6866" w:type="dxa"/>
          </w:tcPr>
          <w:p w14:paraId="6A94D0CD">
            <w:pPr>
              <w:spacing w:before="124" w:line="218" w:lineRule="auto"/>
              <w:ind w:left="2358"/>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评</w:t>
            </w: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价标准</w:t>
            </w:r>
          </w:p>
        </w:tc>
      </w:tr>
      <w:tr w14:paraId="41AC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jc w:val="center"/>
        </w:trPr>
        <w:tc>
          <w:tcPr>
            <w:tcW w:w="1276" w:type="dxa"/>
            <w:vMerge w:val="restart"/>
            <w:tcBorders>
              <w:bottom w:val="nil"/>
            </w:tcBorders>
            <w:vAlign w:val="center"/>
          </w:tcPr>
          <w:p w14:paraId="75603F93">
            <w:pPr>
              <w:spacing w:line="259" w:lineRule="auto"/>
              <w:jc w:val="center"/>
              <w:rPr>
                <w:color w:val="auto"/>
              </w:rPr>
            </w:pPr>
          </w:p>
          <w:p w14:paraId="3475AB8A">
            <w:pPr>
              <w:spacing w:line="259" w:lineRule="auto"/>
              <w:jc w:val="center"/>
              <w:rPr>
                <w:color w:val="auto"/>
              </w:rPr>
            </w:pPr>
          </w:p>
          <w:p w14:paraId="4AB68F95">
            <w:pPr>
              <w:spacing w:line="259" w:lineRule="auto"/>
              <w:jc w:val="center"/>
              <w:rPr>
                <w:color w:val="auto"/>
              </w:rPr>
            </w:pPr>
          </w:p>
          <w:p w14:paraId="06B737BF">
            <w:pPr>
              <w:spacing w:line="259" w:lineRule="auto"/>
              <w:jc w:val="center"/>
              <w:rPr>
                <w:color w:val="auto"/>
              </w:rPr>
            </w:pPr>
          </w:p>
          <w:p w14:paraId="4B2B75B8">
            <w:pPr>
              <w:spacing w:before="78" w:line="217" w:lineRule="auto"/>
              <w:ind w:left="124"/>
              <w:jc w:val="center"/>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程建设</w:t>
            </w:r>
          </w:p>
        </w:tc>
        <w:tc>
          <w:tcPr>
            <w:tcW w:w="1277" w:type="dxa"/>
            <w:vAlign w:val="center"/>
          </w:tcPr>
          <w:p w14:paraId="5F83A18C">
            <w:pPr>
              <w:spacing w:before="78" w:line="220" w:lineRule="auto"/>
              <w:ind w:left="117"/>
              <w:jc w:val="center"/>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视</w:t>
            </w: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频资源</w:t>
            </w:r>
          </w:p>
        </w:tc>
        <w:tc>
          <w:tcPr>
            <w:tcW w:w="6866" w:type="dxa"/>
            <w:vAlign w:val="center"/>
          </w:tcPr>
          <w:p w14:paraId="1841D7E1">
            <w:pPr>
              <w:spacing w:before="78" w:line="217" w:lineRule="auto"/>
              <w:jc w:val="both"/>
              <w:rPr>
                <w:rFonts w:ascii="仿宋" w:hAnsi="仿宋" w:eastAsia="仿宋" w:cs="仿宋"/>
                <w:color w:val="auto"/>
                <w:sz w:val="24"/>
                <w:szCs w:val="24"/>
              </w:rPr>
            </w:pPr>
            <w:r>
              <w:rPr>
                <w:rFonts w:ascii="仿宋" w:hAnsi="仿宋" w:eastAsia="仿宋" w:cs="仿宋"/>
                <w:color w:val="auto"/>
                <w:spacing w:val="-14"/>
                <w:sz w:val="24"/>
                <w:szCs w:val="24"/>
              </w:rPr>
              <w:t>1.</w:t>
            </w:r>
            <w:r>
              <w:rPr>
                <w:rFonts w:ascii="仿宋" w:hAnsi="仿宋" w:eastAsia="仿宋" w:cs="仿宋"/>
                <w:color w:val="auto"/>
                <w:spacing w:val="-7"/>
                <w:sz w:val="24"/>
                <w:szCs w:val="24"/>
              </w:rPr>
              <w:t>视频内容： 应包含课程教学大纲各章节完整内容，</w:t>
            </w:r>
            <w:r>
              <w:rPr>
                <w:rFonts w:ascii="仿宋" w:hAnsi="仿宋" w:eastAsia="仿宋" w:cs="仿宋"/>
                <w:color w:val="auto"/>
                <w:spacing w:val="-16"/>
                <w:sz w:val="24"/>
                <w:szCs w:val="24"/>
              </w:rPr>
              <w:t>内</w:t>
            </w:r>
            <w:r>
              <w:rPr>
                <w:rFonts w:ascii="仿宋" w:hAnsi="仿宋" w:eastAsia="仿宋" w:cs="仿宋"/>
                <w:color w:val="auto"/>
                <w:spacing w:val="-10"/>
                <w:sz w:val="24"/>
                <w:szCs w:val="24"/>
              </w:rPr>
              <w:t>容科学、准确；</w:t>
            </w:r>
          </w:p>
          <w:p w14:paraId="476B0AC9">
            <w:pPr>
              <w:numPr>
                <w:ilvl w:val="0"/>
                <w:numId w:val="0"/>
              </w:numPr>
              <w:spacing w:before="30" w:line="239" w:lineRule="auto"/>
              <w:ind w:right="110" w:rightChars="0"/>
              <w:jc w:val="both"/>
              <w:rPr>
                <w:rFonts w:ascii="仿宋" w:hAnsi="仿宋" w:eastAsia="仿宋" w:cs="仿宋"/>
                <w:color w:val="auto"/>
                <w:sz w:val="24"/>
                <w:szCs w:val="24"/>
              </w:rPr>
            </w:pPr>
            <w:r>
              <w:rPr>
                <w:rFonts w:hint="eastAsia" w:ascii="仿宋" w:hAnsi="仿宋" w:eastAsia="仿宋" w:cs="仿宋"/>
                <w:color w:val="auto"/>
                <w:spacing w:val="-6"/>
                <w:sz w:val="24"/>
                <w:szCs w:val="24"/>
                <w:lang w:val="en-US" w:eastAsia="zh-CN"/>
              </w:rPr>
              <w:t>2.</w:t>
            </w:r>
            <w:r>
              <w:rPr>
                <w:rFonts w:ascii="仿宋" w:hAnsi="仿宋" w:eastAsia="仿宋" w:cs="仿宋"/>
                <w:color w:val="auto"/>
                <w:spacing w:val="-6"/>
                <w:sz w:val="24"/>
                <w:szCs w:val="24"/>
              </w:rPr>
              <w:t>视频时长：总时长原则上≥480 分钟</w:t>
            </w:r>
            <w:r>
              <w:rPr>
                <w:rFonts w:ascii="仿宋" w:hAnsi="仿宋" w:eastAsia="仿宋" w:cs="仿宋"/>
                <w:color w:val="auto"/>
                <w:spacing w:val="-4"/>
                <w:sz w:val="24"/>
                <w:szCs w:val="24"/>
              </w:rPr>
              <w:t>；</w:t>
            </w:r>
          </w:p>
          <w:p w14:paraId="47DC43D9">
            <w:pPr>
              <w:numPr>
                <w:ilvl w:val="0"/>
                <w:numId w:val="0"/>
              </w:numPr>
              <w:spacing w:before="30" w:line="239" w:lineRule="auto"/>
              <w:ind w:right="110" w:rightChars="0"/>
              <w:jc w:val="both"/>
              <w:rPr>
                <w:rFonts w:ascii="仿宋" w:hAnsi="仿宋" w:eastAsia="仿宋" w:cs="仿宋"/>
                <w:color w:val="auto"/>
                <w:sz w:val="24"/>
                <w:szCs w:val="24"/>
              </w:rPr>
            </w:pPr>
            <w:r>
              <w:rPr>
                <w:rFonts w:hint="eastAsia" w:ascii="仿宋" w:hAnsi="仿宋" w:eastAsia="仿宋" w:cs="仿宋"/>
                <w:color w:val="auto"/>
                <w:spacing w:val="-6"/>
                <w:sz w:val="24"/>
                <w:szCs w:val="24"/>
                <w:lang w:val="en-US" w:eastAsia="zh-CN"/>
              </w:rPr>
              <w:t>3.</w:t>
            </w:r>
            <w:r>
              <w:rPr>
                <w:rFonts w:ascii="仿宋" w:hAnsi="仿宋" w:eastAsia="仿宋" w:cs="仿宋"/>
                <w:color w:val="auto"/>
                <w:spacing w:val="-6"/>
                <w:sz w:val="24"/>
                <w:szCs w:val="24"/>
              </w:rPr>
              <w:t>技</w:t>
            </w:r>
            <w:r>
              <w:rPr>
                <w:rFonts w:ascii="仿宋" w:hAnsi="仿宋" w:eastAsia="仿宋" w:cs="仿宋"/>
                <w:color w:val="auto"/>
                <w:spacing w:val="-3"/>
                <w:sz w:val="24"/>
                <w:szCs w:val="24"/>
              </w:rPr>
              <w:t>术规范：参照《安徽省 MOOC 示范项目课程建设</w:t>
            </w:r>
            <w:r>
              <w:rPr>
                <w:rFonts w:ascii="仿宋" w:hAnsi="仿宋" w:eastAsia="仿宋" w:cs="仿宋"/>
                <w:color w:val="auto"/>
                <w:spacing w:val="-11"/>
                <w:sz w:val="24"/>
                <w:szCs w:val="24"/>
              </w:rPr>
              <w:t>规</w:t>
            </w:r>
            <w:r>
              <w:rPr>
                <w:rFonts w:ascii="仿宋" w:hAnsi="仿宋" w:eastAsia="仿宋" w:cs="仿宋"/>
                <w:color w:val="auto"/>
                <w:spacing w:val="-6"/>
                <w:sz w:val="24"/>
                <w:szCs w:val="24"/>
              </w:rPr>
              <w:t>范及标准》执行</w:t>
            </w:r>
            <w:r>
              <w:rPr>
                <w:rFonts w:hint="eastAsia" w:ascii="仿宋" w:hAnsi="仿宋" w:eastAsia="仿宋" w:cs="仿宋"/>
                <w:color w:val="auto"/>
                <w:spacing w:val="-6"/>
                <w:sz w:val="24"/>
                <w:szCs w:val="24"/>
                <w:lang w:eastAsia="zh-CN"/>
              </w:rPr>
              <w:t>，</w:t>
            </w:r>
            <w:r>
              <w:rPr>
                <w:rFonts w:hint="eastAsia" w:ascii="仿宋" w:hAnsi="仿宋" w:eastAsia="仿宋" w:cs="仿宋"/>
                <w:color w:val="auto"/>
                <w:spacing w:val="-6"/>
                <w:sz w:val="24"/>
                <w:szCs w:val="24"/>
                <w:lang w:val="en-US" w:eastAsia="zh-CN"/>
              </w:rPr>
              <w:t>需为正式拍摄视频，不包括录屏等非正式视频</w:t>
            </w:r>
            <w:r>
              <w:rPr>
                <w:rFonts w:ascii="仿宋" w:hAnsi="仿宋" w:eastAsia="仿宋" w:cs="仿宋"/>
                <w:color w:val="auto"/>
                <w:spacing w:val="-6"/>
                <w:sz w:val="24"/>
                <w:szCs w:val="24"/>
              </w:rPr>
              <w:t>；</w:t>
            </w:r>
          </w:p>
          <w:p w14:paraId="6763663B">
            <w:pPr>
              <w:spacing w:line="236" w:lineRule="auto"/>
              <w:jc w:val="both"/>
              <w:rPr>
                <w:rFonts w:ascii="仿宋" w:hAnsi="仿宋" w:eastAsia="仿宋" w:cs="仿宋"/>
                <w:color w:val="auto"/>
                <w:sz w:val="24"/>
                <w:szCs w:val="24"/>
              </w:rPr>
            </w:pPr>
            <w:r>
              <w:rPr>
                <w:rFonts w:ascii="仿宋" w:hAnsi="仿宋" w:eastAsia="仿宋" w:cs="仿宋"/>
                <w:color w:val="auto"/>
                <w:spacing w:val="-4"/>
                <w:sz w:val="24"/>
                <w:szCs w:val="24"/>
              </w:rPr>
              <w:t>4.知识</w:t>
            </w:r>
            <w:r>
              <w:rPr>
                <w:rFonts w:ascii="仿宋" w:hAnsi="仿宋" w:eastAsia="仿宋" w:cs="仿宋"/>
                <w:color w:val="auto"/>
                <w:spacing w:val="-3"/>
                <w:sz w:val="24"/>
                <w:szCs w:val="24"/>
              </w:rPr>
              <w:t>产</w:t>
            </w:r>
            <w:r>
              <w:rPr>
                <w:rFonts w:ascii="仿宋" w:hAnsi="仿宋" w:eastAsia="仿宋" w:cs="仿宋"/>
                <w:color w:val="auto"/>
                <w:spacing w:val="-2"/>
                <w:sz w:val="24"/>
                <w:szCs w:val="24"/>
              </w:rPr>
              <w:t>权：无侵权行为。</w:t>
            </w:r>
          </w:p>
        </w:tc>
      </w:tr>
      <w:tr w14:paraId="2AFF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jc w:val="center"/>
        </w:trPr>
        <w:tc>
          <w:tcPr>
            <w:tcW w:w="1276" w:type="dxa"/>
            <w:vMerge w:val="continue"/>
            <w:tcBorders>
              <w:top w:val="nil"/>
            </w:tcBorders>
            <w:vAlign w:val="center"/>
          </w:tcPr>
          <w:p w14:paraId="538A95FB">
            <w:pPr>
              <w:jc w:val="center"/>
              <w:rPr>
                <w:color w:val="auto"/>
              </w:rPr>
            </w:pPr>
          </w:p>
        </w:tc>
        <w:tc>
          <w:tcPr>
            <w:tcW w:w="1277" w:type="dxa"/>
            <w:vAlign w:val="center"/>
          </w:tcPr>
          <w:p w14:paraId="3C500860">
            <w:pPr>
              <w:spacing w:before="78" w:line="256" w:lineRule="auto"/>
              <w:ind w:left="124" w:right="107" w:firstLine="2"/>
              <w:jc w:val="center"/>
              <w:rPr>
                <w:rFonts w:ascii="仿宋" w:hAnsi="仿宋" w:eastAsia="仿宋" w:cs="仿宋"/>
                <w:color w:val="auto"/>
                <w:sz w:val="24"/>
                <w:szCs w:val="24"/>
              </w:rPr>
            </w:pPr>
            <w:r>
              <w:rPr>
                <w:rFonts w:ascii="仿宋" w:hAnsi="仿宋" w:eastAsia="仿宋" w:cs="仿宋"/>
                <w:color w:val="auto"/>
                <w:spacing w:val="20"/>
                <w:sz w:val="24"/>
                <w:szCs w:val="24"/>
                <w14:textOutline w14:w="4356" w14:cap="flat" w14:cmpd="sng" w14:algn="ctr">
                  <w14:solidFill>
                    <w14:srgbClr w14:val="000000"/>
                  </w14:solidFill>
                  <w14:prstDash w14:val="solid"/>
                  <w14:miter w14:val="0"/>
                </w14:textOutline>
              </w:rPr>
              <w:t>非</w:t>
            </w:r>
            <w:r>
              <w:rPr>
                <w:rFonts w:ascii="仿宋" w:hAnsi="仿宋" w:eastAsia="仿宋" w:cs="仿宋"/>
                <w:color w:val="auto"/>
                <w:spacing w:val="19"/>
                <w:sz w:val="24"/>
                <w:szCs w:val="24"/>
                <w14:textOutline w14:w="4356" w14:cap="flat" w14:cmpd="sng" w14:algn="ctr">
                  <w14:solidFill>
                    <w14:srgbClr w14:val="000000"/>
                  </w14:solidFill>
                  <w14:prstDash w14:val="solid"/>
                  <w14:miter w14:val="0"/>
                </w14:textOutline>
              </w:rPr>
              <w:t>视频资</w:t>
            </w:r>
            <w:r>
              <w:rPr>
                <w:rFonts w:ascii="仿宋" w:hAnsi="仿宋" w:eastAsia="仿宋" w:cs="仿宋"/>
                <w:color w:val="auto"/>
                <w:sz w:val="24"/>
                <w:szCs w:val="24"/>
              </w:rPr>
              <w:t xml:space="preserve"> </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源</w:t>
            </w:r>
          </w:p>
        </w:tc>
        <w:tc>
          <w:tcPr>
            <w:tcW w:w="6866" w:type="dxa"/>
            <w:vAlign w:val="center"/>
          </w:tcPr>
          <w:p w14:paraId="13033D61">
            <w:pPr>
              <w:spacing w:before="78" w:line="217" w:lineRule="auto"/>
              <w:jc w:val="both"/>
              <w:rPr>
                <w:rFonts w:ascii="仿宋" w:hAnsi="仿宋" w:eastAsia="仿宋" w:cs="仿宋"/>
                <w:color w:val="auto"/>
                <w:sz w:val="24"/>
                <w:szCs w:val="24"/>
              </w:rPr>
            </w:pPr>
            <w:r>
              <w:rPr>
                <w:rFonts w:ascii="仿宋" w:hAnsi="仿宋" w:eastAsia="仿宋" w:cs="仿宋"/>
                <w:color w:val="auto"/>
                <w:spacing w:val="-7"/>
                <w:sz w:val="24"/>
                <w:szCs w:val="24"/>
              </w:rPr>
              <w:t>1.完备性：包含课程介绍、课程公告、教学大纲、课</w:t>
            </w:r>
            <w:r>
              <w:rPr>
                <w:rFonts w:ascii="仿宋" w:hAnsi="仿宋" w:eastAsia="仿宋" w:cs="仿宋"/>
                <w:color w:val="auto"/>
                <w:spacing w:val="-9"/>
                <w:sz w:val="24"/>
                <w:szCs w:val="24"/>
              </w:rPr>
              <w:t>件、参考资料、讨论、测试和作业、 题库和线上考</w:t>
            </w:r>
            <w:r>
              <w:rPr>
                <w:rFonts w:ascii="仿宋" w:hAnsi="仿宋" w:eastAsia="仿宋" w:cs="仿宋"/>
                <w:color w:val="auto"/>
                <w:spacing w:val="-5"/>
                <w:sz w:val="24"/>
                <w:szCs w:val="24"/>
              </w:rPr>
              <w:t>试</w:t>
            </w:r>
            <w:r>
              <w:rPr>
                <w:rFonts w:ascii="仿宋" w:hAnsi="仿宋" w:eastAsia="仿宋" w:cs="仿宋"/>
                <w:color w:val="auto"/>
                <w:sz w:val="24"/>
                <w:szCs w:val="24"/>
              </w:rPr>
              <w:t xml:space="preserve"> </w:t>
            </w:r>
            <w:r>
              <w:rPr>
                <w:rFonts w:ascii="仿宋" w:hAnsi="仿宋" w:eastAsia="仿宋" w:cs="仿宋"/>
                <w:color w:val="auto"/>
                <w:spacing w:val="-20"/>
                <w:sz w:val="24"/>
                <w:szCs w:val="24"/>
              </w:rPr>
              <w:t>等</w:t>
            </w:r>
            <w:r>
              <w:rPr>
                <w:rFonts w:ascii="仿宋" w:hAnsi="仿宋" w:eastAsia="仿宋" w:cs="仿宋"/>
                <w:color w:val="auto"/>
                <w:spacing w:val="-19"/>
                <w:sz w:val="24"/>
                <w:szCs w:val="24"/>
              </w:rPr>
              <w:t>；</w:t>
            </w:r>
          </w:p>
          <w:p w14:paraId="6C39C941">
            <w:pPr>
              <w:numPr>
                <w:ilvl w:val="0"/>
                <w:numId w:val="0"/>
              </w:numPr>
              <w:spacing w:before="2" w:line="262" w:lineRule="auto"/>
              <w:ind w:right="145" w:rightChars="0"/>
              <w:jc w:val="both"/>
              <w:rPr>
                <w:rFonts w:ascii="仿宋" w:hAnsi="仿宋" w:eastAsia="仿宋" w:cs="仿宋"/>
                <w:color w:val="auto"/>
                <w:sz w:val="24"/>
                <w:szCs w:val="24"/>
              </w:rPr>
            </w:pPr>
            <w:r>
              <w:rPr>
                <w:rFonts w:hint="eastAsia" w:ascii="仿宋" w:hAnsi="仿宋" w:eastAsia="仿宋" w:cs="仿宋"/>
                <w:color w:val="auto"/>
                <w:spacing w:val="-8"/>
                <w:sz w:val="24"/>
                <w:szCs w:val="24"/>
                <w:lang w:val="en-US" w:eastAsia="zh-CN"/>
              </w:rPr>
              <w:t>2.</w:t>
            </w:r>
            <w:r>
              <w:rPr>
                <w:rFonts w:ascii="仿宋" w:hAnsi="仿宋" w:eastAsia="仿宋" w:cs="仿宋"/>
                <w:color w:val="auto"/>
                <w:spacing w:val="-8"/>
                <w:sz w:val="24"/>
                <w:szCs w:val="24"/>
              </w:rPr>
              <w:t>资源</w:t>
            </w:r>
            <w:r>
              <w:rPr>
                <w:rFonts w:ascii="仿宋" w:hAnsi="仿宋" w:eastAsia="仿宋" w:cs="仿宋"/>
                <w:color w:val="auto"/>
                <w:spacing w:val="-7"/>
                <w:sz w:val="24"/>
                <w:szCs w:val="24"/>
              </w:rPr>
              <w:t>数</w:t>
            </w:r>
            <w:r>
              <w:rPr>
                <w:rFonts w:ascii="仿宋" w:hAnsi="仿宋" w:eastAsia="仿宋" w:cs="仿宋"/>
                <w:color w:val="auto"/>
                <w:spacing w:val="-4"/>
                <w:sz w:val="24"/>
                <w:szCs w:val="24"/>
              </w:rPr>
              <w:t>量：非视频资源数量原则上≥</w:t>
            </w:r>
            <w:r>
              <w:rPr>
                <w:rFonts w:hint="default" w:ascii="仿宋" w:hAnsi="仿宋" w:eastAsia="仿宋" w:cs="仿宋"/>
                <w:color w:val="auto"/>
                <w:spacing w:val="-4"/>
                <w:sz w:val="24"/>
                <w:szCs w:val="24"/>
                <w:lang w:val="en-US"/>
              </w:rPr>
              <w:t>50</w:t>
            </w:r>
            <w:r>
              <w:rPr>
                <w:rFonts w:ascii="仿宋" w:hAnsi="仿宋" w:eastAsia="仿宋" w:cs="仿宋"/>
                <w:color w:val="auto"/>
                <w:spacing w:val="-4"/>
                <w:sz w:val="24"/>
                <w:szCs w:val="24"/>
              </w:rPr>
              <w:t>个/周期；</w:t>
            </w:r>
          </w:p>
          <w:p w14:paraId="0A516AFB">
            <w:pPr>
              <w:numPr>
                <w:ilvl w:val="0"/>
                <w:numId w:val="0"/>
              </w:numPr>
              <w:spacing w:before="2" w:line="262" w:lineRule="auto"/>
              <w:ind w:right="145" w:rightChars="0"/>
              <w:jc w:val="both"/>
              <w:rPr>
                <w:rFonts w:ascii="仿宋" w:hAnsi="仿宋" w:eastAsia="仿宋" w:cs="仿宋"/>
                <w:color w:val="auto"/>
                <w:sz w:val="24"/>
                <w:szCs w:val="24"/>
              </w:rPr>
            </w:pPr>
            <w:r>
              <w:rPr>
                <w:rFonts w:hint="eastAsia" w:ascii="仿宋" w:hAnsi="仿宋" w:eastAsia="仿宋" w:cs="仿宋"/>
                <w:color w:val="auto"/>
                <w:spacing w:val="-3"/>
                <w:sz w:val="24"/>
                <w:szCs w:val="24"/>
                <w:lang w:val="en-US" w:eastAsia="zh-CN"/>
              </w:rPr>
              <w:t>3.</w:t>
            </w:r>
            <w:r>
              <w:rPr>
                <w:rFonts w:ascii="仿宋" w:hAnsi="仿宋" w:eastAsia="仿宋" w:cs="仿宋"/>
                <w:color w:val="auto"/>
                <w:spacing w:val="-3"/>
                <w:sz w:val="24"/>
                <w:szCs w:val="24"/>
              </w:rPr>
              <w:t>知识产权：无侵权行为。</w:t>
            </w:r>
          </w:p>
        </w:tc>
      </w:tr>
      <w:tr w14:paraId="04C0B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1276" w:type="dxa"/>
            <w:vMerge w:val="restart"/>
            <w:vAlign w:val="center"/>
          </w:tcPr>
          <w:p w14:paraId="49B7FEA8">
            <w:pPr>
              <w:spacing w:line="244" w:lineRule="auto"/>
              <w:jc w:val="center"/>
              <w:rPr>
                <w:color w:val="auto"/>
              </w:rPr>
            </w:pPr>
          </w:p>
          <w:p w14:paraId="34CEE4FC">
            <w:pPr>
              <w:spacing w:line="244" w:lineRule="auto"/>
              <w:jc w:val="center"/>
              <w:rPr>
                <w:color w:val="auto"/>
              </w:rPr>
            </w:pPr>
          </w:p>
          <w:p w14:paraId="0B580E63">
            <w:pPr>
              <w:spacing w:line="244" w:lineRule="auto"/>
              <w:jc w:val="center"/>
              <w:rPr>
                <w:color w:val="auto"/>
              </w:rPr>
            </w:pPr>
          </w:p>
          <w:p w14:paraId="0734A9EF">
            <w:pPr>
              <w:spacing w:before="78" w:line="217" w:lineRule="auto"/>
              <w:ind w:left="124"/>
              <w:jc w:val="center"/>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程应用</w:t>
            </w:r>
          </w:p>
        </w:tc>
        <w:tc>
          <w:tcPr>
            <w:tcW w:w="1277" w:type="dxa"/>
            <w:vAlign w:val="center"/>
          </w:tcPr>
          <w:p w14:paraId="62AF937D">
            <w:pPr>
              <w:spacing w:before="263" w:line="254" w:lineRule="auto"/>
              <w:ind w:left="121" w:right="107"/>
              <w:jc w:val="center"/>
              <w:rPr>
                <w:rFonts w:ascii="仿宋" w:hAnsi="仿宋" w:eastAsia="仿宋" w:cs="仿宋"/>
                <w:color w:val="auto"/>
                <w:sz w:val="24"/>
                <w:szCs w:val="24"/>
              </w:rPr>
            </w:pPr>
            <w:r>
              <w:rPr>
                <w:rFonts w:ascii="仿宋" w:hAnsi="仿宋" w:eastAsia="仿宋" w:cs="仿宋"/>
                <w:color w:val="auto"/>
                <w:spacing w:val="23"/>
                <w:sz w:val="24"/>
                <w:szCs w:val="24"/>
                <w14:textOutline w14:w="4356" w14:cap="flat" w14:cmpd="sng" w14:algn="ctr">
                  <w14:solidFill>
                    <w14:srgbClr w14:val="000000"/>
                  </w14:solidFill>
                  <w14:prstDash w14:val="solid"/>
                  <w14:miter w14:val="0"/>
                </w14:textOutline>
              </w:rPr>
              <w:t>运</w:t>
            </w:r>
            <w:r>
              <w:rPr>
                <w:rFonts w:ascii="仿宋" w:hAnsi="仿宋" w:eastAsia="仿宋" w:cs="仿宋"/>
                <w:color w:val="auto"/>
                <w:spacing w:val="20"/>
                <w:sz w:val="24"/>
                <w:szCs w:val="24"/>
                <w14:textOutline w14:w="4356" w14:cap="flat" w14:cmpd="sng" w14:algn="ctr">
                  <w14:solidFill>
                    <w14:srgbClr w14:val="000000"/>
                  </w14:solidFill>
                  <w14:prstDash w14:val="solid"/>
                  <w14:miter w14:val="0"/>
                </w14:textOutline>
              </w:rPr>
              <w:t>行平台</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及</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周期</w:t>
            </w:r>
          </w:p>
        </w:tc>
        <w:tc>
          <w:tcPr>
            <w:tcW w:w="6866" w:type="dxa"/>
            <w:vAlign w:val="center"/>
          </w:tcPr>
          <w:p w14:paraId="541F77C5">
            <w:pPr>
              <w:spacing w:before="106" w:line="239" w:lineRule="auto"/>
              <w:ind w:right="110"/>
              <w:jc w:val="both"/>
              <w:rPr>
                <w:rFonts w:ascii="仿宋" w:hAnsi="仿宋" w:eastAsia="仿宋" w:cs="仿宋"/>
                <w:color w:val="auto"/>
                <w:sz w:val="24"/>
                <w:szCs w:val="24"/>
              </w:rPr>
            </w:pPr>
            <w:r>
              <w:rPr>
                <w:rFonts w:ascii="仿宋" w:hAnsi="仿宋" w:eastAsia="仿宋" w:cs="仿宋"/>
                <w:color w:val="auto"/>
                <w:spacing w:val="-24"/>
                <w:sz w:val="24"/>
                <w:szCs w:val="24"/>
              </w:rPr>
              <w:t>1</w:t>
            </w:r>
            <w:r>
              <w:rPr>
                <w:rFonts w:ascii="仿宋" w:hAnsi="仿宋" w:eastAsia="仿宋" w:cs="仿宋"/>
                <w:color w:val="auto"/>
                <w:spacing w:val="-18"/>
                <w:sz w:val="24"/>
                <w:szCs w:val="24"/>
              </w:rPr>
              <w:t>.</w:t>
            </w:r>
            <w:r>
              <w:rPr>
                <w:rFonts w:ascii="仿宋" w:hAnsi="仿宋" w:eastAsia="仿宋" w:cs="仿宋"/>
                <w:color w:val="auto"/>
                <w:spacing w:val="-12"/>
                <w:sz w:val="24"/>
                <w:szCs w:val="24"/>
              </w:rPr>
              <w:t>在国内主流网络课程平台上线运行， 至少2个完整</w:t>
            </w:r>
            <w:r>
              <w:rPr>
                <w:rFonts w:ascii="仿宋" w:hAnsi="仿宋" w:eastAsia="仿宋" w:cs="仿宋"/>
                <w:color w:val="auto"/>
                <w:spacing w:val="-4"/>
                <w:sz w:val="24"/>
                <w:szCs w:val="24"/>
              </w:rPr>
              <w:t>教</w:t>
            </w:r>
            <w:r>
              <w:rPr>
                <w:rFonts w:ascii="仿宋" w:hAnsi="仿宋" w:eastAsia="仿宋" w:cs="仿宋"/>
                <w:color w:val="auto"/>
                <w:spacing w:val="-3"/>
                <w:sz w:val="24"/>
                <w:szCs w:val="24"/>
              </w:rPr>
              <w:t>学周期；</w:t>
            </w:r>
          </w:p>
          <w:p w14:paraId="427E2EA7">
            <w:pPr>
              <w:spacing w:before="1" w:line="218" w:lineRule="auto"/>
              <w:jc w:val="both"/>
              <w:rPr>
                <w:rFonts w:ascii="仿宋" w:hAnsi="仿宋" w:eastAsia="仿宋" w:cs="仿宋"/>
                <w:color w:val="auto"/>
                <w:sz w:val="24"/>
                <w:szCs w:val="24"/>
              </w:rPr>
            </w:pPr>
            <w:r>
              <w:rPr>
                <w:rFonts w:ascii="仿宋" w:hAnsi="仿宋" w:eastAsia="仿宋" w:cs="仿宋"/>
                <w:color w:val="auto"/>
                <w:spacing w:val="-12"/>
                <w:sz w:val="24"/>
                <w:szCs w:val="24"/>
              </w:rPr>
              <w:t>2.</w:t>
            </w:r>
            <w:r>
              <w:rPr>
                <w:rFonts w:ascii="仿宋" w:hAnsi="仿宋" w:eastAsia="仿宋" w:cs="仿宋"/>
                <w:color w:val="auto"/>
                <w:spacing w:val="-9"/>
                <w:sz w:val="24"/>
                <w:szCs w:val="24"/>
              </w:rPr>
              <w:t>每</w:t>
            </w:r>
            <w:r>
              <w:rPr>
                <w:rFonts w:ascii="仿宋" w:hAnsi="仿宋" w:eastAsia="仿宋" w:cs="仿宋"/>
                <w:color w:val="auto"/>
                <w:spacing w:val="-6"/>
                <w:sz w:val="24"/>
                <w:szCs w:val="24"/>
              </w:rPr>
              <w:t>个完整教学周期原则上不少于1个月。</w:t>
            </w:r>
          </w:p>
        </w:tc>
      </w:tr>
      <w:tr w14:paraId="5842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jc w:val="center"/>
        </w:trPr>
        <w:tc>
          <w:tcPr>
            <w:tcW w:w="1276" w:type="dxa"/>
            <w:vMerge w:val="continue"/>
          </w:tcPr>
          <w:p w14:paraId="21C730D2">
            <w:pPr>
              <w:rPr>
                <w:color w:val="auto"/>
              </w:rPr>
            </w:pPr>
          </w:p>
        </w:tc>
        <w:tc>
          <w:tcPr>
            <w:tcW w:w="1277" w:type="dxa"/>
          </w:tcPr>
          <w:p w14:paraId="0646DFC2">
            <w:pPr>
              <w:spacing w:line="251" w:lineRule="auto"/>
              <w:rPr>
                <w:color w:val="auto"/>
              </w:rPr>
            </w:pPr>
          </w:p>
          <w:p w14:paraId="45A48666">
            <w:pPr>
              <w:spacing w:line="251" w:lineRule="auto"/>
              <w:rPr>
                <w:color w:val="auto"/>
              </w:rPr>
            </w:pPr>
          </w:p>
          <w:p w14:paraId="5217AD37">
            <w:pPr>
              <w:spacing w:line="251" w:lineRule="auto"/>
              <w:rPr>
                <w:color w:val="auto"/>
              </w:rPr>
            </w:pPr>
          </w:p>
          <w:p w14:paraId="5FA749FC">
            <w:pPr>
              <w:spacing w:line="251" w:lineRule="auto"/>
              <w:rPr>
                <w:color w:val="auto"/>
              </w:rPr>
            </w:pPr>
          </w:p>
          <w:p w14:paraId="3C548034">
            <w:pPr>
              <w:spacing w:line="251" w:lineRule="auto"/>
              <w:rPr>
                <w:color w:val="auto"/>
              </w:rPr>
            </w:pPr>
          </w:p>
          <w:p w14:paraId="0CA8A8AA">
            <w:pPr>
              <w:spacing w:line="252" w:lineRule="auto"/>
              <w:rPr>
                <w:color w:val="auto"/>
              </w:rPr>
            </w:pPr>
          </w:p>
          <w:p w14:paraId="673B9DF7">
            <w:pPr>
              <w:spacing w:before="78" w:line="254" w:lineRule="auto"/>
              <w:ind w:left="128" w:right="107" w:hanging="10"/>
              <w:rPr>
                <w:rFonts w:ascii="仿宋" w:hAnsi="仿宋" w:eastAsia="仿宋" w:cs="仿宋"/>
                <w:color w:val="auto"/>
                <w:sz w:val="24"/>
                <w:szCs w:val="24"/>
              </w:rPr>
            </w:pPr>
            <w:r>
              <w:rPr>
                <w:rFonts w:ascii="仿宋" w:hAnsi="仿宋" w:eastAsia="仿宋" w:cs="仿宋"/>
                <w:color w:val="auto"/>
                <w:spacing w:val="22"/>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21"/>
                <w:sz w:val="24"/>
                <w:szCs w:val="24"/>
                <w14:textOutline w14:w="4356" w14:cap="flat" w14:cmpd="sng" w14:algn="ctr">
                  <w14:solidFill>
                    <w14:srgbClr w14:val="000000"/>
                  </w14:solidFill>
                  <w14:prstDash w14:val="solid"/>
                  <w14:miter w14:val="0"/>
                </w14:textOutline>
              </w:rPr>
              <w:t>学活动</w:t>
            </w:r>
            <w:r>
              <w:rPr>
                <w:rFonts w:ascii="仿宋" w:hAnsi="仿宋" w:eastAsia="仿宋" w:cs="仿宋"/>
                <w:color w:val="auto"/>
                <w:spacing w:val="-10"/>
                <w:sz w:val="24"/>
                <w:szCs w:val="24"/>
                <w14:textOutline w14:w="4356" w14:cap="flat" w14:cmpd="sng" w14:algn="ctr">
                  <w14:solidFill>
                    <w14:srgbClr w14:val="000000"/>
                  </w14:solidFill>
                  <w14:prstDash w14:val="solid"/>
                  <w14:miter w14:val="0"/>
                </w14:textOutline>
              </w:rPr>
              <w:t>与</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指导</w:t>
            </w:r>
          </w:p>
        </w:tc>
        <w:tc>
          <w:tcPr>
            <w:tcW w:w="6866" w:type="dxa"/>
            <w:vAlign w:val="center"/>
          </w:tcPr>
          <w:p w14:paraId="67B1EF26">
            <w:pPr>
              <w:spacing w:before="40" w:line="239" w:lineRule="auto"/>
              <w:ind w:left="117" w:right="72"/>
              <w:jc w:val="both"/>
              <w:rPr>
                <w:rFonts w:ascii="仿宋" w:hAnsi="仿宋" w:eastAsia="仿宋" w:cs="仿宋"/>
                <w:color w:val="auto"/>
                <w:sz w:val="24"/>
                <w:szCs w:val="24"/>
              </w:rPr>
            </w:pPr>
            <w:r>
              <w:rPr>
                <w:rFonts w:ascii="仿宋" w:hAnsi="仿宋" w:eastAsia="仿宋" w:cs="仿宋"/>
                <w:color w:val="auto"/>
                <w:spacing w:val="-4"/>
                <w:sz w:val="24"/>
                <w:szCs w:val="24"/>
              </w:rPr>
              <w:t>基于网络</w:t>
            </w:r>
            <w:r>
              <w:rPr>
                <w:rFonts w:ascii="仿宋" w:hAnsi="仿宋" w:eastAsia="仿宋" w:cs="仿宋"/>
                <w:color w:val="auto"/>
                <w:spacing w:val="-3"/>
                <w:sz w:val="24"/>
                <w:szCs w:val="24"/>
              </w:rPr>
              <w:t>课</w:t>
            </w:r>
            <w:r>
              <w:rPr>
                <w:rFonts w:ascii="仿宋" w:hAnsi="仿宋" w:eastAsia="仿宋" w:cs="仿宋"/>
                <w:color w:val="auto"/>
                <w:spacing w:val="-2"/>
                <w:sz w:val="24"/>
                <w:szCs w:val="24"/>
              </w:rPr>
              <w:t>程平台，教师为学习者提供测验、作业、</w:t>
            </w:r>
            <w:r>
              <w:rPr>
                <w:rFonts w:ascii="仿宋" w:hAnsi="仿宋" w:eastAsia="仿宋" w:cs="仿宋"/>
                <w:color w:val="auto"/>
                <w:spacing w:val="-9"/>
                <w:sz w:val="24"/>
                <w:szCs w:val="24"/>
              </w:rPr>
              <w:t>考试、答疑、讨论等教学组织活动，及时开展在线</w:t>
            </w:r>
            <w:r>
              <w:rPr>
                <w:rFonts w:ascii="仿宋" w:hAnsi="仿宋" w:eastAsia="仿宋" w:cs="仿宋"/>
                <w:color w:val="auto"/>
                <w:spacing w:val="-5"/>
                <w:sz w:val="24"/>
                <w:szCs w:val="24"/>
              </w:rPr>
              <w:t>指</w:t>
            </w:r>
            <w:r>
              <w:rPr>
                <w:rFonts w:ascii="仿宋" w:hAnsi="仿宋" w:eastAsia="仿宋" w:cs="仿宋"/>
                <w:color w:val="auto"/>
                <w:spacing w:val="-3"/>
                <w:sz w:val="24"/>
                <w:szCs w:val="24"/>
              </w:rPr>
              <w:t>导与测评。各项教学活动完整、有效，按计划实施</w:t>
            </w:r>
            <w:r>
              <w:rPr>
                <w:rFonts w:ascii="仿宋" w:hAnsi="仿宋" w:eastAsia="仿宋" w:cs="仿宋"/>
                <w:color w:val="auto"/>
                <w:spacing w:val="-1"/>
                <w:sz w:val="24"/>
                <w:szCs w:val="24"/>
              </w:rPr>
              <w:t>，</w:t>
            </w:r>
            <w:r>
              <w:rPr>
                <w:rFonts w:ascii="仿宋" w:hAnsi="仿宋" w:eastAsia="仿宋" w:cs="仿宋"/>
                <w:color w:val="auto"/>
                <w:spacing w:val="-9"/>
                <w:sz w:val="24"/>
                <w:szCs w:val="24"/>
              </w:rPr>
              <w:t>师生互动充分，能有效促进师生之间、学生之间进</w:t>
            </w:r>
            <w:r>
              <w:rPr>
                <w:rFonts w:ascii="仿宋" w:hAnsi="仿宋" w:eastAsia="仿宋" w:cs="仿宋"/>
                <w:color w:val="auto"/>
                <w:spacing w:val="-7"/>
                <w:sz w:val="24"/>
                <w:szCs w:val="24"/>
              </w:rPr>
              <w:t>行</w:t>
            </w:r>
            <w:r>
              <w:rPr>
                <w:rFonts w:ascii="仿宋" w:hAnsi="仿宋" w:eastAsia="仿宋" w:cs="仿宋"/>
                <w:color w:val="auto"/>
                <w:sz w:val="24"/>
                <w:szCs w:val="24"/>
              </w:rPr>
              <w:t xml:space="preserve"> </w:t>
            </w:r>
            <w:r>
              <w:rPr>
                <w:rFonts w:ascii="仿宋" w:hAnsi="仿宋" w:eastAsia="仿宋" w:cs="仿宋"/>
                <w:color w:val="auto"/>
                <w:spacing w:val="-4"/>
                <w:sz w:val="24"/>
                <w:szCs w:val="24"/>
              </w:rPr>
              <w:t>资源共</w:t>
            </w:r>
            <w:r>
              <w:rPr>
                <w:rFonts w:ascii="仿宋" w:hAnsi="仿宋" w:eastAsia="仿宋" w:cs="仿宋"/>
                <w:color w:val="auto"/>
                <w:spacing w:val="-3"/>
                <w:sz w:val="24"/>
                <w:szCs w:val="24"/>
              </w:rPr>
              <w:t>享</w:t>
            </w:r>
            <w:r>
              <w:rPr>
                <w:rFonts w:ascii="仿宋" w:hAnsi="仿宋" w:eastAsia="仿宋" w:cs="仿宋"/>
                <w:color w:val="auto"/>
                <w:spacing w:val="-2"/>
                <w:sz w:val="24"/>
                <w:szCs w:val="24"/>
              </w:rPr>
              <w:t>、互动交流和自主式与协作式学习。</w:t>
            </w:r>
          </w:p>
          <w:p w14:paraId="17B3472D">
            <w:pPr>
              <w:spacing w:line="239" w:lineRule="auto"/>
              <w:ind w:left="121" w:right="110" w:hanging="2"/>
              <w:jc w:val="both"/>
              <w:rPr>
                <w:rFonts w:ascii="仿宋" w:hAnsi="仿宋" w:eastAsia="仿宋" w:cs="仿宋"/>
                <w:color w:val="auto"/>
                <w:sz w:val="24"/>
                <w:szCs w:val="24"/>
              </w:rPr>
            </w:pPr>
            <w:r>
              <w:rPr>
                <w:rFonts w:ascii="仿宋" w:hAnsi="仿宋" w:eastAsia="仿宋" w:cs="仿宋"/>
                <w:color w:val="auto"/>
                <w:spacing w:val="-7"/>
                <w:sz w:val="24"/>
                <w:szCs w:val="24"/>
              </w:rPr>
              <w:t>在</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每个完整教学周期</w:t>
            </w:r>
            <w:r>
              <w:rPr>
                <w:rFonts w:ascii="仿宋" w:hAnsi="仿宋" w:eastAsia="仿宋" w:cs="仿宋"/>
                <w:color w:val="auto"/>
                <w:spacing w:val="-4"/>
                <w:sz w:val="24"/>
                <w:szCs w:val="24"/>
              </w:rPr>
              <w:t>内，课程数据原则上应满足如下</w:t>
            </w:r>
            <w:r>
              <w:rPr>
                <w:rFonts w:ascii="仿宋" w:hAnsi="仿宋" w:eastAsia="仿宋" w:cs="仿宋"/>
                <w:color w:val="auto"/>
                <w:spacing w:val="-18"/>
                <w:sz w:val="24"/>
                <w:szCs w:val="24"/>
              </w:rPr>
              <w:t>要</w:t>
            </w:r>
            <w:r>
              <w:rPr>
                <w:rFonts w:ascii="仿宋" w:hAnsi="仿宋" w:eastAsia="仿宋" w:cs="仿宋"/>
                <w:color w:val="auto"/>
                <w:spacing w:val="-16"/>
                <w:sz w:val="24"/>
                <w:szCs w:val="24"/>
              </w:rPr>
              <w:t>求：</w:t>
            </w:r>
          </w:p>
          <w:p w14:paraId="2DFDF1EC">
            <w:pPr>
              <w:spacing w:line="217" w:lineRule="auto"/>
              <w:ind w:left="127"/>
              <w:jc w:val="both"/>
              <w:rPr>
                <w:rFonts w:ascii="仿宋" w:hAnsi="仿宋" w:eastAsia="仿宋" w:cs="仿宋"/>
                <w:color w:val="auto"/>
                <w:sz w:val="24"/>
                <w:szCs w:val="24"/>
              </w:rPr>
            </w:pPr>
            <w:r>
              <w:rPr>
                <w:rFonts w:ascii="仿宋" w:hAnsi="仿宋" w:eastAsia="仿宋" w:cs="仿宋"/>
                <w:color w:val="auto"/>
                <w:spacing w:val="-25"/>
                <w:sz w:val="24"/>
                <w:szCs w:val="24"/>
              </w:rPr>
              <w:t>1</w:t>
            </w:r>
            <w:r>
              <w:rPr>
                <w:rFonts w:ascii="仿宋" w:hAnsi="仿宋" w:eastAsia="仿宋" w:cs="仿宋"/>
                <w:color w:val="auto"/>
                <w:spacing w:val="-13"/>
                <w:sz w:val="24"/>
                <w:szCs w:val="24"/>
              </w:rPr>
              <w:t>.</w:t>
            </w:r>
            <w:r>
              <w:rPr>
                <w:rFonts w:ascii="仿宋" w:hAnsi="仿宋" w:eastAsia="仿宋" w:cs="仿宋"/>
                <w:color w:val="auto"/>
                <w:spacing w:val="-13"/>
                <w:sz w:val="24"/>
                <w:szCs w:val="24"/>
                <w14:textOutline w14:w="4356" w14:cap="flat" w14:cmpd="sng" w14:algn="ctr">
                  <w14:solidFill>
                    <w14:srgbClr w14:val="000000"/>
                  </w14:solidFill>
                  <w14:prstDash w14:val="solid"/>
                  <w14:miter w14:val="0"/>
                </w14:textOutline>
              </w:rPr>
              <w:t>课程公告：</w:t>
            </w:r>
            <w:r>
              <w:rPr>
                <w:rFonts w:ascii="仿宋" w:hAnsi="仿宋" w:eastAsia="仿宋" w:cs="仿宋"/>
                <w:color w:val="auto"/>
                <w:spacing w:val="-13"/>
                <w:sz w:val="24"/>
                <w:szCs w:val="24"/>
              </w:rPr>
              <w:t xml:space="preserve"> 次数≥10次；</w:t>
            </w:r>
          </w:p>
          <w:p w14:paraId="3A93EDF2">
            <w:pPr>
              <w:spacing w:before="30" w:line="239" w:lineRule="auto"/>
              <w:ind w:left="114" w:right="42" w:hanging="1"/>
              <w:jc w:val="both"/>
              <w:rPr>
                <w:rFonts w:ascii="仿宋" w:hAnsi="仿宋" w:eastAsia="仿宋" w:cs="仿宋"/>
                <w:color w:val="auto"/>
                <w:sz w:val="24"/>
                <w:szCs w:val="24"/>
              </w:rPr>
            </w:pPr>
            <w:r>
              <w:rPr>
                <w:rFonts w:ascii="仿宋" w:hAnsi="仿宋" w:eastAsia="仿宋" w:cs="仿宋"/>
                <w:color w:val="auto"/>
                <w:spacing w:val="-16"/>
                <w:sz w:val="24"/>
                <w:szCs w:val="24"/>
              </w:rPr>
              <w:t>2</w:t>
            </w:r>
            <w:r>
              <w:rPr>
                <w:rFonts w:ascii="仿宋" w:hAnsi="仿宋" w:eastAsia="仿宋" w:cs="仿宋"/>
                <w:color w:val="auto"/>
                <w:spacing w:val="-13"/>
                <w:sz w:val="24"/>
                <w:szCs w:val="24"/>
              </w:rPr>
              <w:t>.</w:t>
            </w:r>
            <w:r>
              <w:rPr>
                <w:rFonts w:ascii="仿宋" w:hAnsi="仿宋" w:eastAsia="仿宋" w:cs="仿宋"/>
                <w:color w:val="auto"/>
                <w:spacing w:val="-13"/>
                <w:sz w:val="24"/>
                <w:szCs w:val="24"/>
                <w14:textOutline w14:w="4356" w14:cap="flat" w14:cmpd="sng" w14:algn="ctr">
                  <w14:solidFill>
                    <w14:srgbClr w14:val="000000"/>
                  </w14:solidFill>
                  <w14:prstDash w14:val="solid"/>
                  <w14:miter w14:val="0"/>
                </w14:textOutline>
              </w:rPr>
              <w:t>测验和作业</w:t>
            </w:r>
            <w:r>
              <w:rPr>
                <w:rFonts w:ascii="仿宋" w:hAnsi="仿宋" w:eastAsia="仿宋" w:cs="仿宋"/>
                <w:color w:val="auto"/>
                <w:spacing w:val="-13"/>
                <w:sz w:val="24"/>
                <w:szCs w:val="24"/>
              </w:rPr>
              <w:t>：总次数≥</w:t>
            </w:r>
            <w:r>
              <w:rPr>
                <w:rFonts w:hint="default" w:ascii="仿宋" w:hAnsi="仿宋" w:eastAsia="仿宋" w:cs="仿宋"/>
                <w:color w:val="auto"/>
                <w:spacing w:val="-13"/>
                <w:sz w:val="24"/>
                <w:szCs w:val="24"/>
                <w:lang w:val="en-US"/>
              </w:rPr>
              <w:t>30</w:t>
            </w:r>
            <w:r>
              <w:rPr>
                <w:rFonts w:ascii="仿宋" w:hAnsi="仿宋" w:eastAsia="仿宋" w:cs="仿宋"/>
                <w:color w:val="auto"/>
                <w:spacing w:val="-13"/>
                <w:sz w:val="24"/>
                <w:szCs w:val="24"/>
              </w:rPr>
              <w:t>次，总参与人次≥</w:t>
            </w:r>
            <w:r>
              <w:rPr>
                <w:rFonts w:hint="default" w:ascii="仿宋" w:hAnsi="仿宋" w:eastAsia="仿宋" w:cs="仿宋"/>
                <w:color w:val="auto"/>
                <w:spacing w:val="-13"/>
                <w:sz w:val="24"/>
                <w:szCs w:val="24"/>
                <w:lang w:val="en-US"/>
              </w:rPr>
              <w:t>500</w:t>
            </w:r>
            <w:r>
              <w:rPr>
                <w:rFonts w:ascii="仿宋" w:hAnsi="仿宋" w:eastAsia="仿宋" w:cs="仿宋"/>
                <w:color w:val="auto"/>
                <w:spacing w:val="-13"/>
                <w:sz w:val="24"/>
                <w:szCs w:val="24"/>
              </w:rPr>
              <w:t>人；</w:t>
            </w:r>
            <w:r>
              <w:rPr>
                <w:rFonts w:ascii="仿宋" w:hAnsi="仿宋" w:eastAsia="仿宋" w:cs="仿宋"/>
                <w:color w:val="auto"/>
                <w:sz w:val="24"/>
                <w:szCs w:val="24"/>
              </w:rPr>
              <w:t xml:space="preserve"> </w:t>
            </w:r>
          </w:p>
          <w:p w14:paraId="35B12A3F">
            <w:pPr>
              <w:spacing w:before="30" w:line="239" w:lineRule="auto"/>
              <w:ind w:left="114" w:right="42" w:hanging="1"/>
              <w:jc w:val="both"/>
              <w:rPr>
                <w:rFonts w:ascii="仿宋" w:hAnsi="仿宋" w:eastAsia="仿宋" w:cs="仿宋"/>
                <w:color w:val="auto"/>
                <w:sz w:val="24"/>
                <w:szCs w:val="24"/>
              </w:rPr>
            </w:pPr>
            <w:r>
              <w:rPr>
                <w:rFonts w:ascii="仿宋" w:hAnsi="仿宋" w:eastAsia="仿宋" w:cs="仿宋"/>
                <w:color w:val="auto"/>
                <w:spacing w:val="-14"/>
                <w:sz w:val="24"/>
                <w:szCs w:val="24"/>
              </w:rPr>
              <w:t>3</w:t>
            </w:r>
            <w:r>
              <w:rPr>
                <w:rFonts w:ascii="仿宋" w:hAnsi="仿宋" w:eastAsia="仿宋" w:cs="仿宋"/>
                <w:color w:val="auto"/>
                <w:spacing w:val="-11"/>
                <w:sz w:val="24"/>
                <w:szCs w:val="24"/>
              </w:rPr>
              <w:t>.</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互动与讨论</w:t>
            </w:r>
            <w:r>
              <w:rPr>
                <w:rFonts w:ascii="仿宋" w:hAnsi="仿宋" w:eastAsia="仿宋" w:cs="仿宋"/>
                <w:color w:val="auto"/>
                <w:spacing w:val="-7"/>
                <w:sz w:val="24"/>
                <w:szCs w:val="24"/>
              </w:rPr>
              <w:t>：教师发帖数≥30帖， 发帖总数≥</w:t>
            </w:r>
            <w:r>
              <w:rPr>
                <w:rFonts w:hint="default" w:ascii="仿宋" w:hAnsi="仿宋" w:eastAsia="仿宋" w:cs="仿宋"/>
                <w:color w:val="auto"/>
                <w:spacing w:val="-7"/>
                <w:sz w:val="24"/>
                <w:szCs w:val="24"/>
                <w:lang w:val="en-US"/>
              </w:rPr>
              <w:t>100</w:t>
            </w:r>
            <w:r>
              <w:rPr>
                <w:rFonts w:ascii="仿宋" w:hAnsi="仿宋" w:eastAsia="仿宋" w:cs="仿宋"/>
                <w:color w:val="auto"/>
                <w:spacing w:val="-12"/>
                <w:sz w:val="24"/>
                <w:szCs w:val="24"/>
              </w:rPr>
              <w:t>帖</w:t>
            </w:r>
            <w:r>
              <w:rPr>
                <w:rFonts w:ascii="仿宋" w:hAnsi="仿宋" w:eastAsia="仿宋" w:cs="仿宋"/>
                <w:color w:val="auto"/>
                <w:spacing w:val="-6"/>
                <w:sz w:val="24"/>
                <w:szCs w:val="24"/>
              </w:rPr>
              <w:t>，总参与人次≥</w:t>
            </w:r>
            <w:r>
              <w:rPr>
                <w:rFonts w:hint="default" w:ascii="仿宋" w:hAnsi="仿宋" w:eastAsia="仿宋" w:cs="仿宋"/>
                <w:color w:val="auto"/>
                <w:spacing w:val="-6"/>
                <w:sz w:val="24"/>
                <w:szCs w:val="24"/>
                <w:lang w:val="en-US"/>
              </w:rPr>
              <w:t>200</w:t>
            </w:r>
            <w:r>
              <w:rPr>
                <w:rFonts w:ascii="仿宋" w:hAnsi="仿宋" w:eastAsia="仿宋" w:cs="仿宋"/>
                <w:color w:val="auto"/>
                <w:spacing w:val="-6"/>
                <w:sz w:val="24"/>
                <w:szCs w:val="24"/>
              </w:rPr>
              <w:t>人；</w:t>
            </w:r>
          </w:p>
          <w:p w14:paraId="4633F647">
            <w:pPr>
              <w:spacing w:line="217" w:lineRule="auto"/>
              <w:ind w:left="109"/>
              <w:jc w:val="both"/>
              <w:rPr>
                <w:rFonts w:ascii="仿宋" w:hAnsi="仿宋" w:eastAsia="仿宋" w:cs="仿宋"/>
                <w:color w:val="auto"/>
                <w:sz w:val="24"/>
                <w:szCs w:val="24"/>
              </w:rPr>
            </w:pPr>
            <w:r>
              <w:rPr>
                <w:rFonts w:ascii="仿宋" w:hAnsi="仿宋" w:eastAsia="仿宋" w:cs="仿宋"/>
                <w:color w:val="auto"/>
                <w:spacing w:val="-11"/>
                <w:sz w:val="24"/>
                <w:szCs w:val="24"/>
              </w:rPr>
              <w:t>4</w:t>
            </w:r>
            <w:r>
              <w:rPr>
                <w:rFonts w:ascii="仿宋" w:hAnsi="仿宋" w:eastAsia="仿宋" w:cs="仿宋"/>
                <w:color w:val="auto"/>
                <w:spacing w:val="-10"/>
                <w:sz w:val="24"/>
                <w:szCs w:val="24"/>
              </w:rPr>
              <w:t>.</w:t>
            </w:r>
            <w:r>
              <w:rPr>
                <w:rFonts w:ascii="仿宋" w:hAnsi="仿宋" w:eastAsia="仿宋" w:cs="仿宋"/>
                <w:color w:val="auto"/>
                <w:spacing w:val="-10"/>
                <w:sz w:val="24"/>
                <w:szCs w:val="24"/>
                <w14:textOutline w14:w="4356" w14:cap="flat" w14:cmpd="sng" w14:algn="ctr">
                  <w14:solidFill>
                    <w14:srgbClr w14:val="000000"/>
                  </w14:solidFill>
                  <w14:prstDash w14:val="solid"/>
                  <w14:miter w14:val="0"/>
                </w14:textOutline>
              </w:rPr>
              <w:t>考试</w:t>
            </w:r>
            <w:r>
              <w:rPr>
                <w:rFonts w:ascii="仿宋" w:hAnsi="仿宋" w:eastAsia="仿宋" w:cs="仿宋"/>
                <w:color w:val="auto"/>
                <w:spacing w:val="-10"/>
                <w:sz w:val="24"/>
                <w:szCs w:val="24"/>
              </w:rPr>
              <w:t>：次数≥1次， 总参与人次≥</w:t>
            </w:r>
            <w:r>
              <w:rPr>
                <w:rFonts w:hint="default" w:ascii="仿宋" w:hAnsi="仿宋" w:eastAsia="仿宋" w:cs="仿宋"/>
                <w:color w:val="auto"/>
                <w:spacing w:val="-10"/>
                <w:sz w:val="24"/>
                <w:szCs w:val="24"/>
                <w:lang w:val="en-US"/>
              </w:rPr>
              <w:t>100</w:t>
            </w:r>
            <w:r>
              <w:rPr>
                <w:rFonts w:ascii="仿宋" w:hAnsi="仿宋" w:eastAsia="仿宋" w:cs="仿宋"/>
                <w:color w:val="auto"/>
                <w:spacing w:val="-10"/>
                <w:sz w:val="24"/>
                <w:szCs w:val="24"/>
              </w:rPr>
              <w:t>人。</w:t>
            </w:r>
          </w:p>
        </w:tc>
      </w:tr>
      <w:tr w14:paraId="1CF2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jc w:val="center"/>
        </w:trPr>
        <w:tc>
          <w:tcPr>
            <w:tcW w:w="1276" w:type="dxa"/>
            <w:vMerge w:val="continue"/>
          </w:tcPr>
          <w:p w14:paraId="55340A00">
            <w:pPr>
              <w:rPr>
                <w:color w:val="auto"/>
              </w:rPr>
            </w:pPr>
          </w:p>
        </w:tc>
        <w:tc>
          <w:tcPr>
            <w:tcW w:w="1277" w:type="dxa"/>
          </w:tcPr>
          <w:p w14:paraId="325A43ED">
            <w:pPr>
              <w:rPr>
                <w:color w:val="auto"/>
              </w:rPr>
            </w:pPr>
          </w:p>
          <w:p w14:paraId="6C948AE8">
            <w:pPr>
              <w:rPr>
                <w:color w:val="auto"/>
              </w:rPr>
            </w:pPr>
          </w:p>
          <w:p w14:paraId="751223F4">
            <w:pPr>
              <w:spacing w:line="241" w:lineRule="auto"/>
              <w:rPr>
                <w:color w:val="auto"/>
              </w:rPr>
            </w:pPr>
          </w:p>
          <w:p w14:paraId="6F926429">
            <w:pPr>
              <w:spacing w:before="78" w:line="254" w:lineRule="auto"/>
              <w:ind w:left="128" w:right="107" w:hanging="10"/>
              <w:rPr>
                <w:rFonts w:ascii="仿宋" w:hAnsi="仿宋" w:eastAsia="仿宋" w:cs="仿宋"/>
                <w:color w:val="auto"/>
                <w:sz w:val="24"/>
                <w:szCs w:val="24"/>
              </w:rPr>
            </w:pPr>
            <w:r>
              <w:rPr>
                <w:rFonts w:ascii="仿宋" w:hAnsi="仿宋" w:eastAsia="仿宋" w:cs="仿宋"/>
                <w:color w:val="auto"/>
                <w:spacing w:val="22"/>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21"/>
                <w:sz w:val="24"/>
                <w:szCs w:val="24"/>
                <w14:textOutline w14:w="4356" w14:cap="flat" w14:cmpd="sng" w14:algn="ctr">
                  <w14:solidFill>
                    <w14:srgbClr w14:val="000000"/>
                  </w14:solidFill>
                  <w14:prstDash w14:val="solid"/>
                  <w14:miter w14:val="0"/>
                </w14:textOutline>
              </w:rPr>
              <w:t>学效果</w:t>
            </w:r>
            <w:r>
              <w:rPr>
                <w:rFonts w:ascii="仿宋" w:hAnsi="仿宋" w:eastAsia="仿宋" w:cs="仿宋"/>
                <w:color w:val="auto"/>
                <w:spacing w:val="-10"/>
                <w:sz w:val="24"/>
                <w:szCs w:val="24"/>
                <w14:textOutline w14:w="4356" w14:cap="flat" w14:cmpd="sng" w14:algn="ctr">
                  <w14:solidFill>
                    <w14:srgbClr w14:val="000000"/>
                  </w14:solidFill>
                  <w14:prstDash w14:val="solid"/>
                  <w14:miter w14:val="0"/>
                </w14:textOutline>
              </w:rPr>
              <w:t>与</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影响</w:t>
            </w:r>
          </w:p>
        </w:tc>
        <w:tc>
          <w:tcPr>
            <w:tcW w:w="6866" w:type="dxa"/>
          </w:tcPr>
          <w:p w14:paraId="67535C55">
            <w:pPr>
              <w:spacing w:before="45" w:line="239" w:lineRule="auto"/>
              <w:ind w:left="114" w:right="111" w:firstLine="3"/>
              <w:rPr>
                <w:rFonts w:ascii="仿宋" w:hAnsi="仿宋" w:eastAsia="仿宋" w:cs="仿宋"/>
                <w:color w:val="auto"/>
                <w:sz w:val="24"/>
                <w:szCs w:val="24"/>
              </w:rPr>
            </w:pPr>
            <w:r>
              <w:rPr>
                <w:rFonts w:ascii="仿宋" w:hAnsi="仿宋" w:eastAsia="仿宋" w:cs="仿宋"/>
                <w:color w:val="auto"/>
                <w:spacing w:val="-22"/>
                <w:sz w:val="24"/>
                <w:szCs w:val="24"/>
              </w:rPr>
              <w:t>课</w:t>
            </w:r>
            <w:r>
              <w:rPr>
                <w:rFonts w:ascii="仿宋" w:hAnsi="仿宋" w:eastAsia="仿宋" w:cs="仿宋"/>
                <w:color w:val="auto"/>
                <w:spacing w:val="-13"/>
                <w:sz w:val="24"/>
                <w:szCs w:val="24"/>
              </w:rPr>
              <w:t>程共享范围广泛，应用模式多样，线上线下应用结</w:t>
            </w:r>
            <w:r>
              <w:rPr>
                <w:rFonts w:ascii="仿宋" w:hAnsi="仿宋" w:eastAsia="仿宋" w:cs="仿宋"/>
                <w:color w:val="auto"/>
                <w:spacing w:val="-18"/>
                <w:sz w:val="24"/>
                <w:szCs w:val="24"/>
              </w:rPr>
              <w:t>合</w:t>
            </w:r>
            <w:r>
              <w:rPr>
                <w:rFonts w:ascii="仿宋" w:hAnsi="仿宋" w:eastAsia="仿宋" w:cs="仿宋"/>
                <w:color w:val="auto"/>
                <w:spacing w:val="-13"/>
                <w:sz w:val="24"/>
                <w:szCs w:val="24"/>
              </w:rPr>
              <w:t>效果较好，能切实提高教学质量，在同类课程中具</w:t>
            </w:r>
            <w:r>
              <w:rPr>
                <w:rFonts w:ascii="仿宋" w:hAnsi="仿宋" w:eastAsia="仿宋" w:cs="仿宋"/>
                <w:color w:val="auto"/>
                <w:spacing w:val="-5"/>
                <w:sz w:val="24"/>
                <w:szCs w:val="24"/>
              </w:rPr>
              <w:t>有一定的影响力。</w:t>
            </w:r>
          </w:p>
          <w:p w14:paraId="311A356C">
            <w:pPr>
              <w:spacing w:before="1" w:line="239" w:lineRule="auto"/>
              <w:ind w:left="116" w:right="39"/>
              <w:rPr>
                <w:rFonts w:ascii="仿宋" w:hAnsi="仿宋" w:eastAsia="仿宋" w:cs="仿宋"/>
                <w:color w:val="auto"/>
                <w:sz w:val="24"/>
                <w:szCs w:val="24"/>
              </w:rPr>
            </w:pPr>
            <w:r>
              <w:rPr>
                <w:rFonts w:ascii="仿宋" w:hAnsi="仿宋" w:eastAsia="仿宋" w:cs="仿宋"/>
                <w:color w:val="auto"/>
                <w:spacing w:val="-13"/>
                <w:sz w:val="24"/>
                <w:szCs w:val="24"/>
              </w:rPr>
              <w:t>教学效果与影响应满足如下要求：</w:t>
            </w:r>
            <w:r>
              <w:rPr>
                <w:rFonts w:ascii="仿宋" w:hAnsi="仿宋" w:eastAsia="仿宋" w:cs="仿宋"/>
                <w:color w:val="auto"/>
                <w:sz w:val="24"/>
                <w:szCs w:val="24"/>
              </w:rPr>
              <w:t xml:space="preserve">                </w:t>
            </w:r>
          </w:p>
          <w:p w14:paraId="62AA718E">
            <w:pPr>
              <w:spacing w:before="1" w:line="239" w:lineRule="auto"/>
              <w:ind w:left="116" w:right="39"/>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ascii="仿宋" w:hAnsi="仿宋" w:eastAsia="仿宋" w:cs="仿宋"/>
                <w:color w:val="auto"/>
                <w:spacing w:val="-1"/>
                <w:sz w:val="24"/>
                <w:szCs w:val="24"/>
              </w:rPr>
              <w:t>原则上学习总人数≥</w:t>
            </w:r>
            <w:r>
              <w:rPr>
                <w:rFonts w:hint="default" w:ascii="仿宋" w:hAnsi="仿宋" w:eastAsia="仿宋" w:cs="仿宋"/>
                <w:color w:val="auto"/>
                <w:spacing w:val="-1"/>
                <w:sz w:val="24"/>
                <w:szCs w:val="24"/>
                <w:lang w:val="en-US"/>
              </w:rPr>
              <w:t>1000</w:t>
            </w:r>
            <w:r>
              <w:rPr>
                <w:rFonts w:ascii="仿宋" w:hAnsi="仿宋" w:eastAsia="仿宋" w:cs="仿宋"/>
                <w:color w:val="auto"/>
                <w:spacing w:val="-1"/>
                <w:sz w:val="24"/>
                <w:szCs w:val="24"/>
              </w:rPr>
              <w:t>人(多个教</w:t>
            </w:r>
            <w:r>
              <w:rPr>
                <w:rFonts w:ascii="仿宋" w:hAnsi="仿宋" w:eastAsia="仿宋" w:cs="仿宋"/>
                <w:color w:val="auto"/>
                <w:sz w:val="24"/>
                <w:szCs w:val="24"/>
              </w:rPr>
              <w:t>学周期累加，</w:t>
            </w:r>
            <w:r>
              <w:rPr>
                <w:rFonts w:ascii="仿宋" w:hAnsi="仿宋" w:eastAsia="仿宋" w:cs="仿宋"/>
                <w:color w:val="auto"/>
                <w:spacing w:val="8"/>
                <w:sz w:val="24"/>
                <w:szCs w:val="24"/>
              </w:rPr>
              <w:t>研</w:t>
            </w:r>
            <w:r>
              <w:rPr>
                <w:rFonts w:ascii="仿宋" w:hAnsi="仿宋" w:eastAsia="仿宋" w:cs="仿宋"/>
                <w:color w:val="auto"/>
                <w:spacing w:val="4"/>
                <w:sz w:val="24"/>
                <w:szCs w:val="24"/>
              </w:rPr>
              <w:t>究生课程可适当减少)；</w:t>
            </w:r>
          </w:p>
          <w:p w14:paraId="7A1539A5">
            <w:pPr>
              <w:spacing w:line="239" w:lineRule="auto"/>
              <w:ind w:left="116" w:right="111" w:hanging="3"/>
              <w:rPr>
                <w:rFonts w:ascii="仿宋" w:hAnsi="仿宋" w:eastAsia="仿宋" w:cs="仿宋"/>
                <w:color w:val="auto"/>
                <w:sz w:val="24"/>
                <w:szCs w:val="24"/>
              </w:rPr>
            </w:pPr>
            <w:r>
              <w:rPr>
                <w:rFonts w:ascii="仿宋" w:hAnsi="仿宋" w:eastAsia="仿宋" w:cs="仿宋"/>
                <w:color w:val="auto"/>
                <w:spacing w:val="-24"/>
                <w:sz w:val="24"/>
                <w:szCs w:val="24"/>
              </w:rPr>
              <w:t>2</w:t>
            </w:r>
            <w:r>
              <w:rPr>
                <w:rFonts w:ascii="仿宋" w:hAnsi="仿宋" w:eastAsia="仿宋" w:cs="仿宋"/>
                <w:color w:val="auto"/>
                <w:spacing w:val="-17"/>
                <w:sz w:val="24"/>
                <w:szCs w:val="24"/>
              </w:rPr>
              <w:t>.</w:t>
            </w:r>
            <w:r>
              <w:rPr>
                <w:rFonts w:ascii="仿宋" w:hAnsi="仿宋" w:eastAsia="仿宋" w:cs="仿宋"/>
                <w:color w:val="auto"/>
                <w:spacing w:val="-12"/>
                <w:sz w:val="24"/>
                <w:szCs w:val="24"/>
              </w:rPr>
              <w:t>课程应用模式多样， 除在线学习外， 还应用于翻转</w:t>
            </w:r>
            <w:r>
              <w:rPr>
                <w:rFonts w:ascii="仿宋" w:hAnsi="仿宋" w:eastAsia="仿宋" w:cs="仿宋"/>
                <w:color w:val="auto"/>
                <w:spacing w:val="-27"/>
                <w:sz w:val="24"/>
                <w:szCs w:val="24"/>
              </w:rPr>
              <w:t>教</w:t>
            </w:r>
            <w:r>
              <w:rPr>
                <w:rFonts w:ascii="仿宋" w:hAnsi="仿宋" w:eastAsia="仿宋" w:cs="仿宋"/>
                <w:color w:val="auto"/>
                <w:spacing w:val="-17"/>
                <w:sz w:val="24"/>
                <w:szCs w:val="24"/>
              </w:rPr>
              <w:t>学、 SPOC 教学等；</w:t>
            </w:r>
          </w:p>
          <w:p w14:paraId="6CDECDE9">
            <w:pPr>
              <w:spacing w:line="229" w:lineRule="auto"/>
              <w:ind w:left="120" w:right="111" w:hanging="6"/>
              <w:rPr>
                <w:rFonts w:ascii="仿宋" w:hAnsi="仿宋" w:eastAsia="仿宋" w:cs="仿宋"/>
                <w:color w:val="auto"/>
                <w:sz w:val="24"/>
                <w:szCs w:val="24"/>
              </w:rPr>
            </w:pPr>
            <w:r>
              <w:rPr>
                <w:rFonts w:ascii="仿宋" w:hAnsi="仿宋" w:eastAsia="仿宋" w:cs="仿宋"/>
                <w:color w:val="auto"/>
                <w:spacing w:val="-24"/>
                <w:sz w:val="24"/>
                <w:szCs w:val="24"/>
              </w:rPr>
              <w:t>3</w:t>
            </w:r>
            <w:r>
              <w:rPr>
                <w:rFonts w:ascii="仿宋" w:hAnsi="仿宋" w:eastAsia="仿宋" w:cs="仿宋"/>
                <w:color w:val="auto"/>
                <w:spacing w:val="-19"/>
                <w:sz w:val="24"/>
                <w:szCs w:val="24"/>
              </w:rPr>
              <w:t>.</w:t>
            </w:r>
            <w:r>
              <w:rPr>
                <w:rFonts w:ascii="仿宋" w:hAnsi="仿宋" w:eastAsia="仿宋" w:cs="仿宋"/>
                <w:color w:val="auto"/>
                <w:spacing w:val="-12"/>
                <w:sz w:val="24"/>
                <w:szCs w:val="24"/>
              </w:rPr>
              <w:t>课程共享范围广，除社会学习者外，在别的高校也</w:t>
            </w:r>
            <w:r>
              <w:rPr>
                <w:rFonts w:ascii="仿宋" w:hAnsi="仿宋" w:eastAsia="仿宋" w:cs="仿宋"/>
                <w:color w:val="auto"/>
                <w:spacing w:val="-10"/>
                <w:sz w:val="24"/>
                <w:szCs w:val="24"/>
              </w:rPr>
              <w:t>获</w:t>
            </w:r>
            <w:r>
              <w:rPr>
                <w:rFonts w:ascii="仿宋" w:hAnsi="仿宋" w:eastAsia="仿宋" w:cs="仿宋"/>
                <w:color w:val="auto"/>
                <w:spacing w:val="-8"/>
                <w:sz w:val="24"/>
                <w:szCs w:val="24"/>
              </w:rPr>
              <w:t>得应用。</w:t>
            </w:r>
          </w:p>
        </w:tc>
      </w:tr>
    </w:tbl>
    <w:p w14:paraId="5A75D67E">
      <w:pPr>
        <w:pageBreakBefore w:val="0"/>
        <w:widowControl/>
        <w:numPr>
          <w:ilvl w:val="0"/>
          <w:numId w:val="0"/>
        </w:numPr>
        <w:kinsoku/>
        <w:wordWrap/>
        <w:overflowPunct/>
        <w:topLinePunct w:val="0"/>
        <w:autoSpaceDE/>
        <w:autoSpaceDN/>
        <w:bidi w:val="0"/>
        <w:adjustRightInd w:val="0"/>
        <w:snapToGrid/>
        <w:spacing w:line="360" w:lineRule="auto"/>
        <w:ind w:left="0" w:leftChars="0" w:firstLine="562" w:firstLineChars="200"/>
        <w:textAlignment w:val="auto"/>
        <w:rPr>
          <w:rFonts w:hint="default" w:ascii="宋体" w:hAnsi="宋体" w:cs="宋体"/>
          <w:b/>
          <w:bCs/>
          <w:color w:val="auto"/>
          <w:kern w:val="0"/>
          <w:sz w:val="28"/>
          <w:szCs w:val="48"/>
          <w:lang w:val="en-US" w:eastAsia="zh-CN"/>
        </w:rPr>
      </w:pPr>
    </w:p>
    <w:bookmarkEnd w:id="30"/>
    <w:bookmarkEnd w:id="31"/>
    <w:bookmarkEnd w:id="32"/>
    <w:bookmarkEnd w:id="33"/>
    <w:bookmarkEnd w:id="34"/>
    <w:bookmarkEnd w:id="35"/>
    <w:bookmarkEnd w:id="36"/>
    <w:p w14:paraId="23A19389">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cs="Times New Roman"/>
          <w:b/>
          <w:bCs/>
          <w:color w:val="auto"/>
          <w:kern w:val="2"/>
          <w:sz w:val="28"/>
          <w:szCs w:val="28"/>
          <w:lang w:val="en-US" w:eastAsia="zh-CN" w:bidi="ar-SA"/>
        </w:rPr>
      </w:pPr>
      <w:bookmarkStart w:id="37" w:name="_Toc25595"/>
      <w:bookmarkStart w:id="38" w:name="_Toc13253"/>
      <w:bookmarkStart w:id="39" w:name="_Toc117584310"/>
      <w:bookmarkStart w:id="40" w:name="_Toc147652331"/>
      <w:bookmarkStart w:id="41" w:name="_Toc12710"/>
      <w:bookmarkStart w:id="42" w:name="_Toc117584311"/>
      <w:bookmarkStart w:id="43" w:name="_Toc2118"/>
      <w:bookmarkStart w:id="44" w:name="_Toc20677"/>
      <w:bookmarkStart w:id="45" w:name="_Toc147652332"/>
      <w:r>
        <w:rPr>
          <w:rFonts w:hint="eastAsia" w:ascii="宋体" w:hAnsi="宋体" w:cs="Times New Roman"/>
          <w:b/>
          <w:bCs/>
          <w:color w:val="auto"/>
          <w:kern w:val="2"/>
          <w:sz w:val="28"/>
          <w:szCs w:val="28"/>
          <w:lang w:val="en-US" w:eastAsia="zh-CN" w:bidi="ar-SA"/>
        </w:rPr>
        <w:t>2.2线上线下混合式课程</w:t>
      </w:r>
      <w:bookmarkEnd w:id="37"/>
      <w:bookmarkEnd w:id="38"/>
      <w:bookmarkEnd w:id="39"/>
      <w:bookmarkEnd w:id="40"/>
    </w:p>
    <w:p w14:paraId="0112E41E">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建设目标：</w:t>
      </w:r>
      <w:r>
        <w:rPr>
          <w:rFonts w:hint="eastAsia"/>
          <w:color w:val="auto"/>
          <w:sz w:val="24"/>
          <w:szCs w:val="24"/>
          <w:lang w:val="en-US" w:eastAsia="zh-CN"/>
        </w:rPr>
        <w:t>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w:t>
      </w:r>
    </w:p>
    <w:p w14:paraId="358713B8">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7D1F05C5">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1.申报课程须为纳入学校人才培养方案且设置学分的本科课程。</w:t>
      </w:r>
    </w:p>
    <w:p w14:paraId="7D04B729">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2.申报课程应已连续开设2个教学周期及以上，原则上要求是公共基础课、专业基础课或专业核心课。</w:t>
      </w:r>
    </w:p>
    <w:p w14:paraId="55AD0AA3">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3.课程负责人须为具有讲师及以上职称或博士学位的教师，团队主要成员须为教务系统显示授课教师。</w:t>
      </w:r>
    </w:p>
    <w:p w14:paraId="2130C9F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4.要承诺申报材料的真实性，引用的课程资源要注明来源，上网内容不侵犯他人的知识产权。</w:t>
      </w:r>
    </w:p>
    <w:p w14:paraId="382A59EF">
      <w:pPr>
        <w:pageBreakBefore w:val="0"/>
        <w:widowControl/>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4B209B79">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验收标准：</w:t>
      </w:r>
      <w:r>
        <w:rPr>
          <w:rFonts w:hint="eastAsia"/>
          <w:color w:val="auto"/>
          <w:sz w:val="24"/>
          <w:szCs w:val="24"/>
          <w:lang w:val="en-US" w:eastAsia="zh-CN"/>
        </w:rPr>
        <w:t>通过课程建设，在项目结项时需达到省级一流课程标准（见表2），或达到国家级一流课程标准。</w:t>
      </w:r>
    </w:p>
    <w:p w14:paraId="26876F8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jc w:val="center"/>
        <w:textAlignment w:val="auto"/>
        <w:rPr>
          <w:rFonts w:hint="eastAsia" w:eastAsia="楷体"/>
          <w:color w:val="auto"/>
          <w:sz w:val="24"/>
          <w:szCs w:val="24"/>
          <w:lang w:val="en-US" w:eastAsia="zh-CN"/>
        </w:rPr>
      </w:pPr>
      <w:r>
        <w:rPr>
          <w:rFonts w:hint="eastAsia" w:eastAsia="楷体"/>
          <w:color w:val="auto"/>
          <w:sz w:val="24"/>
          <w:szCs w:val="24"/>
          <w:lang w:val="en-US" w:eastAsia="zh-CN"/>
        </w:rPr>
        <w:t>表2：校级线上线下混合式课程验收标准</w:t>
      </w:r>
    </w:p>
    <w:tbl>
      <w:tblPr>
        <w:tblStyle w:val="11"/>
        <w:tblW w:w="9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
        <w:gridCol w:w="1315"/>
        <w:gridCol w:w="83"/>
        <w:gridCol w:w="4"/>
        <w:gridCol w:w="37"/>
        <w:gridCol w:w="7433"/>
        <w:gridCol w:w="240"/>
      </w:tblGrid>
      <w:tr w14:paraId="16F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440" w:type="dxa"/>
            <w:gridSpan w:val="3"/>
            <w:vAlign w:val="center"/>
          </w:tcPr>
          <w:p w14:paraId="41DC3ACE">
            <w:pPr>
              <w:spacing w:before="166" w:line="218" w:lineRule="auto"/>
              <w:ind w:left="353"/>
              <w:jc w:val="center"/>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指</w:t>
            </w:r>
            <w:r>
              <w:rPr>
                <w:rFonts w:ascii="仿宋" w:hAnsi="仿宋" w:eastAsia="仿宋" w:cs="仿宋"/>
                <w:color w:val="auto"/>
                <w:spacing w:val="8"/>
                <w:sz w:val="24"/>
                <w:szCs w:val="24"/>
              </w:rPr>
              <w:t xml:space="preserve">  </w:t>
            </w: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标</w:t>
            </w:r>
          </w:p>
        </w:tc>
        <w:tc>
          <w:tcPr>
            <w:tcW w:w="7714" w:type="dxa"/>
            <w:gridSpan w:val="4"/>
            <w:vAlign w:val="center"/>
          </w:tcPr>
          <w:p w14:paraId="026B2C62">
            <w:pPr>
              <w:spacing w:before="165" w:line="219" w:lineRule="auto"/>
              <w:ind w:left="2764"/>
              <w:jc w:val="both"/>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观</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测点及描述</w:t>
            </w:r>
          </w:p>
        </w:tc>
      </w:tr>
      <w:tr w14:paraId="4499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 w:type="dxa"/>
            <w:vMerge w:val="restart"/>
            <w:tcBorders>
              <w:bottom w:val="nil"/>
              <w:right w:val="single" w:color="FFFFFF" w:sz="8" w:space="0"/>
            </w:tcBorders>
          </w:tcPr>
          <w:p w14:paraId="7B7FB984">
            <w:pPr>
              <w:jc w:val="center"/>
              <w:rPr>
                <w:color w:val="auto"/>
              </w:rPr>
            </w:pPr>
          </w:p>
        </w:tc>
        <w:tc>
          <w:tcPr>
            <w:tcW w:w="1315" w:type="dxa"/>
            <w:vMerge w:val="restart"/>
            <w:tcBorders>
              <w:left w:val="single" w:color="FFFFFF" w:sz="8" w:space="0"/>
              <w:bottom w:val="nil"/>
              <w:right w:val="nil"/>
            </w:tcBorders>
          </w:tcPr>
          <w:p w14:paraId="6981219E">
            <w:pPr>
              <w:spacing w:before="78" w:line="249" w:lineRule="auto"/>
              <w:ind w:left="62" w:right="18" w:hanging="4"/>
              <w:jc w:val="cente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pPr>
          </w:p>
          <w:p w14:paraId="3896AA95">
            <w:pPr>
              <w:spacing w:before="78" w:line="249" w:lineRule="auto"/>
              <w:ind w:left="62" w:right="18" w:hanging="4"/>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程目标符</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合</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新时代人</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才</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培养要求</w:t>
            </w:r>
          </w:p>
        </w:tc>
        <w:tc>
          <w:tcPr>
            <w:tcW w:w="83" w:type="dxa"/>
            <w:vMerge w:val="restart"/>
            <w:tcBorders>
              <w:left w:val="nil"/>
              <w:bottom w:val="nil"/>
            </w:tcBorders>
          </w:tcPr>
          <w:p w14:paraId="202661CD">
            <w:pPr>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rightMargin">
                        <wp:posOffset>-41275</wp:posOffset>
                      </wp:positionH>
                      <wp:positionV relativeFrom="topMargin">
                        <wp:posOffset>384175</wp:posOffset>
                      </wp:positionV>
                      <wp:extent cx="41275" cy="593090"/>
                      <wp:effectExtent l="0" t="0" r="15875" b="16510"/>
                      <wp:wrapNone/>
                      <wp:docPr id="2" name="矩形 2"/>
                      <wp:cNvGraphicFramePr/>
                      <a:graphic xmlns:a="http://schemas.openxmlformats.org/drawingml/2006/main">
                        <a:graphicData uri="http://schemas.microsoft.com/office/word/2010/wordprocessingShape">
                          <wps:wsp>
                            <wps:cNvSpPr/>
                            <wps:spPr>
                              <a:xfrm>
                                <a:off x="0" y="0"/>
                                <a:ext cx="41275" cy="59309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8pt;margin-top:30.5pt;height:46.7pt;width:3.25pt;mso-position-horizontal-relative:page;mso-position-vertical-relative:page;z-index:251667456;mso-width-relative:page;mso-height-relative:page;" fillcolor="#FFFFFF" filled="t" stroked="f" coordsize="21600,21600" o:gfxdata="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SiVydQA&#10;AAAGAQAADwAAAAAAAAABACAAAAAiAAAAZHJzL2Rvd25yZXYueG1sUEsBAhQAFAAAAAgAh07iQAzh&#10;c3axAQAAXQMAAA4AAAAAAAAAAQAgAAAAIwEAAGRycy9lMm9Eb2MueG1sUEsFBgAAAAAGAAYAWQEA&#10;AEYFAAAAAA==&#10;">
                      <v:fill on="t" focussize="0,0"/>
                      <v:stroke on="f"/>
                      <v:imagedata o:title=""/>
                      <o:lock v:ext="edit" aspectratio="f"/>
                    </v:rect>
                  </w:pict>
                </mc:Fallback>
              </mc:AlternateContent>
            </w:r>
          </w:p>
        </w:tc>
        <w:tc>
          <w:tcPr>
            <w:tcW w:w="7714" w:type="dxa"/>
            <w:gridSpan w:val="4"/>
          </w:tcPr>
          <w:p w14:paraId="45D999C6">
            <w:pPr>
              <w:spacing w:before="163" w:line="217" w:lineRule="auto"/>
              <w:ind w:left="90"/>
              <w:rPr>
                <w:rFonts w:ascii="仿宋" w:hAnsi="仿宋" w:eastAsia="仿宋" w:cs="仿宋"/>
                <w:color w:val="auto"/>
                <w:sz w:val="24"/>
                <w:szCs w:val="24"/>
              </w:rPr>
            </w:pPr>
            <w:r>
              <w:rPr>
                <w:rFonts w:ascii="仿宋" w:hAnsi="仿宋" w:eastAsia="仿宋" w:cs="仿宋"/>
                <w:color w:val="auto"/>
                <w:spacing w:val="12"/>
                <w:sz w:val="24"/>
                <w:szCs w:val="24"/>
              </w:rPr>
              <w:t>符</w:t>
            </w:r>
            <w:r>
              <w:rPr>
                <w:rFonts w:ascii="仿宋" w:hAnsi="仿宋" w:eastAsia="仿宋" w:cs="仿宋"/>
                <w:color w:val="auto"/>
                <w:spacing w:val="7"/>
                <w:sz w:val="24"/>
                <w:szCs w:val="24"/>
              </w:rPr>
              <w:t>合学校办学定位和人才培养目标，坚持立德树人。</w:t>
            </w:r>
          </w:p>
        </w:tc>
      </w:tr>
      <w:tr w14:paraId="58CF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2" w:type="dxa"/>
            <w:vMerge w:val="continue"/>
            <w:tcBorders>
              <w:top w:val="nil"/>
              <w:bottom w:val="nil"/>
              <w:right w:val="single" w:color="FFFFFF" w:sz="8" w:space="0"/>
            </w:tcBorders>
          </w:tcPr>
          <w:p w14:paraId="4A4EECA3">
            <w:pPr>
              <w:jc w:val="center"/>
              <w:rPr>
                <w:color w:val="auto"/>
              </w:rPr>
            </w:pPr>
          </w:p>
        </w:tc>
        <w:tc>
          <w:tcPr>
            <w:tcW w:w="1315" w:type="dxa"/>
            <w:vMerge w:val="continue"/>
            <w:tcBorders>
              <w:top w:val="nil"/>
              <w:left w:val="single" w:color="FFFFFF" w:sz="8" w:space="0"/>
              <w:bottom w:val="nil"/>
              <w:right w:val="nil"/>
            </w:tcBorders>
          </w:tcPr>
          <w:p w14:paraId="366E1125">
            <w:pPr>
              <w:rPr>
                <w:color w:val="auto"/>
              </w:rPr>
            </w:pPr>
          </w:p>
        </w:tc>
        <w:tc>
          <w:tcPr>
            <w:tcW w:w="83" w:type="dxa"/>
            <w:vMerge w:val="continue"/>
            <w:tcBorders>
              <w:top w:val="nil"/>
              <w:left w:val="nil"/>
              <w:bottom w:val="nil"/>
            </w:tcBorders>
          </w:tcPr>
          <w:p w14:paraId="30028B15">
            <w:pPr>
              <w:rPr>
                <w:color w:val="auto"/>
              </w:rPr>
            </w:pPr>
          </w:p>
        </w:tc>
        <w:tc>
          <w:tcPr>
            <w:tcW w:w="41" w:type="dxa"/>
            <w:gridSpan w:val="2"/>
            <w:tcBorders>
              <w:right w:val="single" w:color="FFFFFF" w:sz="8" w:space="0"/>
            </w:tcBorders>
          </w:tcPr>
          <w:p w14:paraId="0F223CCE">
            <w:pPr>
              <w:rPr>
                <w:color w:val="auto"/>
              </w:rPr>
            </w:pPr>
          </w:p>
        </w:tc>
        <w:tc>
          <w:tcPr>
            <w:tcW w:w="7433" w:type="dxa"/>
            <w:tcBorders>
              <w:left w:val="single" w:color="FFFFFF" w:sz="8" w:space="0"/>
              <w:right w:val="single" w:color="FFFFFF" w:sz="8" w:space="0"/>
            </w:tcBorders>
          </w:tcPr>
          <w:p w14:paraId="28EA4DE6">
            <w:pPr>
              <w:spacing w:before="36" w:line="231" w:lineRule="auto"/>
              <w:ind w:left="44" w:right="32" w:hanging="3"/>
              <w:rPr>
                <w:rFonts w:ascii="仿宋" w:hAnsi="仿宋" w:eastAsia="仿宋" w:cs="仿宋"/>
                <w:color w:val="auto"/>
                <w:sz w:val="24"/>
                <w:szCs w:val="24"/>
              </w:rPr>
            </w:pPr>
            <w:r>
              <w:rPr>
                <w:rFonts w:ascii="仿宋" w:hAnsi="仿宋" w:eastAsia="仿宋" w:cs="仿宋"/>
                <w:color w:val="auto"/>
                <w:spacing w:val="15"/>
                <w:sz w:val="24"/>
                <w:szCs w:val="24"/>
              </w:rPr>
              <w:t>坚</w:t>
            </w:r>
            <w:r>
              <w:rPr>
                <w:rFonts w:ascii="仿宋" w:hAnsi="仿宋" w:eastAsia="仿宋" w:cs="仿宋"/>
                <w:color w:val="auto"/>
                <w:spacing w:val="13"/>
                <w:sz w:val="24"/>
                <w:szCs w:val="24"/>
              </w:rPr>
              <w:t>持知识、能力、素质有机融合，注重提升课程的高阶性、突出课程的创新性、增加课程的挑战度，契合学生解决复杂问</w:t>
            </w:r>
            <w:r>
              <w:rPr>
                <w:rFonts w:ascii="仿宋" w:hAnsi="仿宋" w:eastAsia="仿宋" w:cs="仿宋"/>
                <w:color w:val="auto"/>
                <w:spacing w:val="11"/>
                <w:sz w:val="24"/>
                <w:szCs w:val="24"/>
              </w:rPr>
              <w:t>题</w:t>
            </w:r>
            <w:r>
              <w:rPr>
                <w:rFonts w:ascii="仿宋" w:hAnsi="仿宋" w:eastAsia="仿宋" w:cs="仿宋"/>
                <w:color w:val="auto"/>
                <w:spacing w:val="9"/>
                <w:sz w:val="24"/>
                <w:szCs w:val="24"/>
              </w:rPr>
              <w:t>等</w:t>
            </w:r>
            <w:r>
              <w:rPr>
                <w:rFonts w:ascii="仿宋" w:hAnsi="仿宋" w:eastAsia="仿宋" w:cs="仿宋"/>
                <w:color w:val="auto"/>
                <w:spacing w:val="5"/>
                <w:sz w:val="24"/>
                <w:szCs w:val="24"/>
              </w:rPr>
              <w:t>综合能力养成要求。</w:t>
            </w:r>
          </w:p>
        </w:tc>
        <w:tc>
          <w:tcPr>
            <w:tcW w:w="240" w:type="dxa"/>
            <w:tcBorders>
              <w:left w:val="single" w:color="FFFFFF" w:sz="8" w:space="0"/>
            </w:tcBorders>
          </w:tcPr>
          <w:p w14:paraId="74F7888B">
            <w:pPr>
              <w:rPr>
                <w:color w:val="auto"/>
              </w:rPr>
            </w:pPr>
          </w:p>
        </w:tc>
      </w:tr>
      <w:tr w14:paraId="141B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2" w:type="dxa"/>
            <w:vMerge w:val="continue"/>
            <w:tcBorders>
              <w:top w:val="nil"/>
              <w:right w:val="single" w:color="FFFFFF" w:sz="8" w:space="0"/>
            </w:tcBorders>
          </w:tcPr>
          <w:p w14:paraId="7724CDF2">
            <w:pPr>
              <w:jc w:val="center"/>
              <w:rPr>
                <w:color w:val="auto"/>
              </w:rPr>
            </w:pPr>
          </w:p>
        </w:tc>
        <w:tc>
          <w:tcPr>
            <w:tcW w:w="1315" w:type="dxa"/>
            <w:vMerge w:val="continue"/>
            <w:tcBorders>
              <w:top w:val="nil"/>
              <w:left w:val="single" w:color="FFFFFF" w:sz="8" w:space="0"/>
              <w:right w:val="nil"/>
            </w:tcBorders>
          </w:tcPr>
          <w:p w14:paraId="5D55C9AC">
            <w:pPr>
              <w:rPr>
                <w:color w:val="auto"/>
              </w:rPr>
            </w:pPr>
          </w:p>
        </w:tc>
        <w:tc>
          <w:tcPr>
            <w:tcW w:w="83" w:type="dxa"/>
            <w:vMerge w:val="continue"/>
            <w:tcBorders>
              <w:top w:val="nil"/>
              <w:left w:val="nil"/>
            </w:tcBorders>
          </w:tcPr>
          <w:p w14:paraId="505ADC9C">
            <w:pPr>
              <w:rPr>
                <w:color w:val="auto"/>
              </w:rPr>
            </w:pPr>
          </w:p>
        </w:tc>
        <w:tc>
          <w:tcPr>
            <w:tcW w:w="7714" w:type="dxa"/>
            <w:gridSpan w:val="4"/>
          </w:tcPr>
          <w:p w14:paraId="7AC90541">
            <w:pPr>
              <w:spacing w:before="34" w:line="227" w:lineRule="auto"/>
              <w:ind w:left="84" w:right="82" w:firstLine="42"/>
              <w:rPr>
                <w:rFonts w:ascii="仿宋" w:hAnsi="仿宋" w:eastAsia="仿宋" w:cs="仿宋"/>
                <w:color w:val="auto"/>
                <w:sz w:val="24"/>
                <w:szCs w:val="24"/>
              </w:rPr>
            </w:pPr>
            <w:r>
              <w:rPr>
                <w:rFonts w:ascii="仿宋" w:hAnsi="仿宋" w:eastAsia="仿宋" w:cs="仿宋"/>
                <w:color w:val="auto"/>
                <w:spacing w:val="22"/>
                <w:sz w:val="24"/>
                <w:szCs w:val="24"/>
              </w:rPr>
              <w:t>目</w:t>
            </w:r>
            <w:r>
              <w:rPr>
                <w:rFonts w:ascii="仿宋" w:hAnsi="仿宋" w:eastAsia="仿宋" w:cs="仿宋"/>
                <w:color w:val="auto"/>
                <w:spacing w:val="19"/>
                <w:sz w:val="24"/>
                <w:szCs w:val="24"/>
              </w:rPr>
              <w:t>标</w:t>
            </w:r>
            <w:r>
              <w:rPr>
                <w:rFonts w:ascii="仿宋" w:hAnsi="仿宋" w:eastAsia="仿宋" w:cs="仿宋"/>
                <w:color w:val="auto"/>
                <w:spacing w:val="11"/>
                <w:sz w:val="24"/>
                <w:szCs w:val="24"/>
              </w:rPr>
              <w:t>描述准确具体，对应国家、行业、专业需求，符合培养规</w:t>
            </w:r>
            <w:r>
              <w:rPr>
                <w:rFonts w:ascii="仿宋" w:hAnsi="仿宋" w:eastAsia="仿宋" w:cs="仿宋"/>
                <w:color w:val="auto"/>
                <w:spacing w:val="4"/>
                <w:sz w:val="24"/>
                <w:szCs w:val="24"/>
              </w:rPr>
              <w:t>律，符合校情</w:t>
            </w:r>
            <w:r>
              <w:rPr>
                <w:rFonts w:ascii="仿宋" w:hAnsi="仿宋" w:eastAsia="仿宋" w:cs="仿宋"/>
                <w:color w:val="auto"/>
                <w:spacing w:val="2"/>
                <w:sz w:val="24"/>
                <w:szCs w:val="24"/>
              </w:rPr>
              <w:t>、学情，达成路径清晰，便于考核评价。</w:t>
            </w:r>
          </w:p>
        </w:tc>
      </w:tr>
      <w:tr w14:paraId="4E98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440" w:type="dxa"/>
            <w:gridSpan w:val="3"/>
            <w:vMerge w:val="restart"/>
            <w:tcBorders>
              <w:bottom w:val="nil"/>
            </w:tcBorders>
          </w:tcPr>
          <w:p w14:paraId="5ADEA194">
            <w:pPr>
              <w:spacing w:line="407" w:lineRule="auto"/>
              <w:jc w:val="center"/>
              <w:rPr>
                <w:color w:val="auto"/>
              </w:rPr>
            </w:pPr>
          </w:p>
          <w:p w14:paraId="211DB86D">
            <w:pPr>
              <w:spacing w:before="78" w:line="217" w:lineRule="auto"/>
              <w:ind w:left="234"/>
              <w:jc w:val="center"/>
              <w:rPr>
                <w:rFonts w:ascii="仿宋" w:hAnsi="仿宋" w:eastAsia="仿宋" w:cs="仿宋"/>
                <w:color w:val="auto"/>
                <w:sz w:val="24"/>
                <w:szCs w:val="24"/>
              </w:rPr>
            </w:pP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授</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课教师</w:t>
            </w:r>
          </w:p>
          <w:p w14:paraId="168A8D66">
            <w:pPr>
              <w:spacing w:before="27" w:line="219" w:lineRule="auto"/>
              <w:ind w:left="106"/>
              <w:jc w:val="center"/>
              <w:rPr>
                <w:rFonts w:ascii="仿宋" w:hAnsi="仿宋" w:eastAsia="仿宋" w:cs="仿宋"/>
                <w:color w:val="auto"/>
                <w:sz w:val="24"/>
                <w:szCs w:val="24"/>
              </w:rPr>
            </w:pPr>
            <w:r>
              <w:rPr>
                <w:rFonts w:ascii="仿宋" w:hAnsi="仿宋" w:eastAsia="仿宋" w:cs="仿宋"/>
                <w:color w:val="auto"/>
                <w:spacing w:val="28"/>
                <w:sz w:val="24"/>
                <w:szCs w:val="24"/>
                <w14:textOutline w14:w="4356" w14:cap="flat" w14:cmpd="sng" w14:algn="ctr">
                  <w14:solidFill>
                    <w14:srgbClr w14:val="000000"/>
                  </w14:solidFill>
                  <w14:prstDash w14:val="solid"/>
                  <w14:miter w14:val="0"/>
                </w14:textOutline>
              </w:rPr>
              <w:t>(</w:t>
            </w:r>
            <w:r>
              <w:rPr>
                <w:rFonts w:ascii="仿宋" w:hAnsi="仿宋" w:eastAsia="仿宋" w:cs="仿宋"/>
                <w:color w:val="auto"/>
                <w:spacing w:val="27"/>
                <w:sz w:val="24"/>
                <w:szCs w:val="24"/>
                <w14:textOutline w14:w="4356" w14:cap="flat" w14:cmpd="sng" w14:algn="ctr">
                  <w14:solidFill>
                    <w14:srgbClr w14:val="000000"/>
                  </w14:solidFill>
                  <w14:prstDash w14:val="solid"/>
                  <w14:miter w14:val="0"/>
                </w14:textOutline>
              </w:rPr>
              <w:t>团队)</w:t>
            </w:r>
            <w:r>
              <w:rPr>
                <w:rFonts w:ascii="仿宋" w:hAnsi="仿宋" w:eastAsia="仿宋" w:cs="仿宋"/>
                <w:color w:val="auto"/>
                <w:spacing w:val="27"/>
                <w:sz w:val="24"/>
                <w:szCs w:val="24"/>
              </w:rPr>
              <w:t xml:space="preserve"> </w:t>
            </w:r>
            <w:r>
              <w:rPr>
                <w:rFonts w:ascii="仿宋" w:hAnsi="仿宋" w:eastAsia="仿宋" w:cs="仿宋"/>
                <w:color w:val="auto"/>
                <w:spacing w:val="27"/>
                <w:sz w:val="24"/>
                <w:szCs w:val="24"/>
                <w14:textOutline w14:w="4356" w14:cap="flat" w14:cmpd="sng" w14:algn="ctr">
                  <w14:solidFill>
                    <w14:srgbClr w14:val="000000"/>
                  </w14:solidFill>
                  <w14:prstDash w14:val="solid"/>
                  <w14:miter w14:val="0"/>
                </w14:textOutline>
              </w:rPr>
              <w:t>切</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实投入教</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学</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改</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革</w:t>
            </w:r>
          </w:p>
        </w:tc>
        <w:tc>
          <w:tcPr>
            <w:tcW w:w="7714" w:type="dxa"/>
            <w:gridSpan w:val="4"/>
          </w:tcPr>
          <w:p w14:paraId="382CDBD9">
            <w:pPr>
              <w:spacing w:before="166" w:line="218" w:lineRule="auto"/>
              <w:ind w:left="89"/>
              <w:rPr>
                <w:rFonts w:ascii="仿宋" w:hAnsi="仿宋" w:eastAsia="仿宋" w:cs="仿宋"/>
                <w:color w:val="auto"/>
                <w:sz w:val="24"/>
                <w:szCs w:val="24"/>
              </w:rPr>
            </w:pPr>
            <w:r>
              <w:rPr>
                <w:rFonts w:ascii="仿宋" w:hAnsi="仿宋" w:eastAsia="仿宋" w:cs="仿宋"/>
                <w:color w:val="auto"/>
                <w:spacing w:val="10"/>
                <w:sz w:val="24"/>
                <w:szCs w:val="24"/>
              </w:rPr>
              <w:t>秉</w:t>
            </w:r>
            <w:r>
              <w:rPr>
                <w:rFonts w:ascii="仿宋" w:hAnsi="仿宋" w:eastAsia="仿宋" w:cs="仿宋"/>
                <w:color w:val="auto"/>
                <w:spacing w:val="7"/>
                <w:sz w:val="24"/>
                <w:szCs w:val="24"/>
              </w:rPr>
              <w:t>持学生中心、产出导向、持续改进的理念。</w:t>
            </w:r>
          </w:p>
        </w:tc>
      </w:tr>
      <w:tr w14:paraId="50C1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40" w:type="dxa"/>
            <w:gridSpan w:val="3"/>
            <w:vMerge w:val="continue"/>
            <w:tcBorders>
              <w:top w:val="nil"/>
              <w:bottom w:val="nil"/>
            </w:tcBorders>
          </w:tcPr>
          <w:p w14:paraId="335C3928">
            <w:pPr>
              <w:jc w:val="center"/>
              <w:rPr>
                <w:color w:val="auto"/>
              </w:rPr>
            </w:pPr>
          </w:p>
        </w:tc>
        <w:tc>
          <w:tcPr>
            <w:tcW w:w="41" w:type="dxa"/>
            <w:gridSpan w:val="2"/>
            <w:tcBorders>
              <w:right w:val="single" w:color="FFFFFF" w:sz="8" w:space="0"/>
            </w:tcBorders>
          </w:tcPr>
          <w:p w14:paraId="43BE7950">
            <w:pPr>
              <w:rPr>
                <w:color w:val="auto"/>
              </w:rPr>
            </w:pPr>
          </w:p>
        </w:tc>
        <w:tc>
          <w:tcPr>
            <w:tcW w:w="7433" w:type="dxa"/>
            <w:tcBorders>
              <w:left w:val="single" w:color="FFFFFF" w:sz="8" w:space="0"/>
              <w:right w:val="single" w:color="FFFFFF" w:sz="8" w:space="0"/>
            </w:tcBorders>
          </w:tcPr>
          <w:p w14:paraId="54A1BFE0">
            <w:pPr>
              <w:spacing w:before="36" w:line="241" w:lineRule="auto"/>
              <w:ind w:left="35"/>
              <w:rPr>
                <w:rFonts w:ascii="仿宋" w:hAnsi="仿宋" w:eastAsia="仿宋" w:cs="仿宋"/>
                <w:color w:val="auto"/>
                <w:sz w:val="23"/>
                <w:szCs w:val="23"/>
              </w:rPr>
            </w:pPr>
            <w:r>
              <w:rPr>
                <w:rFonts w:ascii="仿宋" w:hAnsi="仿宋" w:eastAsia="仿宋" w:cs="仿宋"/>
                <w:color w:val="auto"/>
                <w:spacing w:val="31"/>
                <w:sz w:val="24"/>
                <w:szCs w:val="24"/>
              </w:rPr>
              <w:t>教</w:t>
            </w:r>
            <w:r>
              <w:rPr>
                <w:rFonts w:ascii="仿宋" w:hAnsi="仿宋" w:eastAsia="仿宋" w:cs="仿宋"/>
                <w:color w:val="auto"/>
                <w:spacing w:val="21"/>
                <w:sz w:val="24"/>
                <w:szCs w:val="24"/>
              </w:rPr>
              <w:t>学理念融入教学设计，围绕目标达成、教学内容、组织实施</w:t>
            </w:r>
            <w:r>
              <w:rPr>
                <w:rFonts w:ascii="仿宋" w:hAnsi="仿宋" w:eastAsia="仿宋" w:cs="仿宋"/>
                <w:color w:val="auto"/>
                <w:spacing w:val="20"/>
                <w:sz w:val="24"/>
                <w:szCs w:val="24"/>
              </w:rPr>
              <w:t>和多</w:t>
            </w:r>
            <w:r>
              <w:rPr>
                <w:rFonts w:ascii="仿宋" w:hAnsi="仿宋" w:eastAsia="仿宋" w:cs="仿宋"/>
                <w:color w:val="auto"/>
                <w:spacing w:val="12"/>
                <w:sz w:val="24"/>
                <w:szCs w:val="24"/>
              </w:rPr>
              <w:t>元</w:t>
            </w:r>
            <w:r>
              <w:rPr>
                <w:rFonts w:ascii="仿宋" w:hAnsi="仿宋" w:eastAsia="仿宋" w:cs="仿宋"/>
                <w:color w:val="auto"/>
                <w:spacing w:val="10"/>
                <w:sz w:val="24"/>
                <w:szCs w:val="24"/>
              </w:rPr>
              <w:t>评价需求进行整体规划，教学策略、教学方法教学过程、</w:t>
            </w:r>
            <w:r>
              <w:rPr>
                <w:rFonts w:ascii="仿宋" w:hAnsi="仿宋" w:eastAsia="仿宋" w:cs="仿宋"/>
                <w:color w:val="auto"/>
                <w:spacing w:val="19"/>
                <w:sz w:val="24"/>
                <w:szCs w:val="24"/>
              </w:rPr>
              <w:t>教</w:t>
            </w:r>
            <w:r>
              <w:rPr>
                <w:rFonts w:ascii="仿宋" w:hAnsi="仿宋" w:eastAsia="仿宋" w:cs="仿宋"/>
                <w:color w:val="auto"/>
                <w:spacing w:val="13"/>
                <w:sz w:val="24"/>
                <w:szCs w:val="24"/>
              </w:rPr>
              <w:t>学评价等设计合理。</w:t>
            </w:r>
          </w:p>
        </w:tc>
        <w:tc>
          <w:tcPr>
            <w:tcW w:w="240" w:type="dxa"/>
            <w:tcBorders>
              <w:left w:val="single" w:color="FFFFFF" w:sz="8" w:space="0"/>
            </w:tcBorders>
          </w:tcPr>
          <w:p w14:paraId="1FA7FC09">
            <w:pPr>
              <w:rPr>
                <w:color w:val="auto"/>
              </w:rPr>
            </w:pPr>
          </w:p>
        </w:tc>
      </w:tr>
      <w:tr w14:paraId="1019C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40" w:type="dxa"/>
            <w:gridSpan w:val="3"/>
            <w:vMerge w:val="continue"/>
            <w:tcBorders>
              <w:top w:val="nil"/>
            </w:tcBorders>
          </w:tcPr>
          <w:p w14:paraId="5D790938">
            <w:pPr>
              <w:jc w:val="center"/>
              <w:rPr>
                <w:color w:val="auto"/>
              </w:rPr>
            </w:pPr>
          </w:p>
        </w:tc>
        <w:tc>
          <w:tcPr>
            <w:tcW w:w="7714" w:type="dxa"/>
            <w:gridSpan w:val="4"/>
          </w:tcPr>
          <w:p w14:paraId="5D9210CD">
            <w:pPr>
              <w:spacing w:before="37" w:line="229" w:lineRule="auto"/>
              <w:ind w:left="84" w:right="82"/>
              <w:rPr>
                <w:rFonts w:ascii="仿宋" w:hAnsi="仿宋" w:eastAsia="仿宋" w:cs="仿宋"/>
                <w:color w:val="auto"/>
                <w:sz w:val="24"/>
                <w:szCs w:val="24"/>
              </w:rPr>
            </w:pPr>
            <w:r>
              <w:rPr>
                <w:rFonts w:ascii="仿宋" w:hAnsi="仿宋" w:eastAsia="仿宋" w:cs="仿宋"/>
                <w:color w:val="auto"/>
                <w:spacing w:val="21"/>
                <w:sz w:val="24"/>
                <w:szCs w:val="24"/>
              </w:rPr>
              <w:t>教</w:t>
            </w:r>
            <w:r>
              <w:rPr>
                <w:rFonts w:ascii="仿宋" w:hAnsi="仿宋" w:eastAsia="仿宋" w:cs="仿宋"/>
                <w:color w:val="auto"/>
                <w:spacing w:val="13"/>
                <w:sz w:val="24"/>
                <w:szCs w:val="24"/>
              </w:rPr>
              <w:t>学改革意识强烈，能够主动运用新技术，创新教学方法提高</w:t>
            </w:r>
            <w:r>
              <w:rPr>
                <w:rFonts w:ascii="仿宋" w:hAnsi="仿宋" w:eastAsia="仿宋" w:cs="仿宋"/>
                <w:color w:val="auto"/>
                <w:spacing w:val="14"/>
                <w:sz w:val="24"/>
                <w:szCs w:val="24"/>
              </w:rPr>
              <w:t>教</w:t>
            </w:r>
            <w:r>
              <w:rPr>
                <w:rFonts w:ascii="仿宋" w:hAnsi="仿宋" w:eastAsia="仿宋" w:cs="仿宋"/>
                <w:color w:val="auto"/>
                <w:spacing w:val="9"/>
                <w:sz w:val="24"/>
                <w:szCs w:val="24"/>
              </w:rPr>
              <w:t>学</w:t>
            </w:r>
            <w:r>
              <w:rPr>
                <w:rFonts w:ascii="仿宋" w:hAnsi="仿宋" w:eastAsia="仿宋" w:cs="仿宋"/>
                <w:color w:val="auto"/>
                <w:spacing w:val="7"/>
                <w:sz w:val="24"/>
                <w:szCs w:val="24"/>
              </w:rPr>
              <w:t>效率、提升教学质量，教学能力有显著提升。</w:t>
            </w:r>
          </w:p>
        </w:tc>
      </w:tr>
      <w:tr w14:paraId="76E7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4" w:type="dxa"/>
            <w:gridSpan w:val="4"/>
            <w:vMerge w:val="restart"/>
            <w:tcBorders>
              <w:bottom w:val="nil"/>
            </w:tcBorders>
          </w:tcPr>
          <w:p w14:paraId="0A29D6F3">
            <w:pPr>
              <w:spacing w:line="263" w:lineRule="auto"/>
              <w:jc w:val="center"/>
              <w:rPr>
                <w:color w:val="auto"/>
              </w:rPr>
            </w:pPr>
          </w:p>
          <w:p w14:paraId="3E42147E">
            <w:pPr>
              <w:spacing w:line="263" w:lineRule="auto"/>
              <w:jc w:val="center"/>
              <w:rPr>
                <w:color w:val="auto"/>
              </w:rPr>
            </w:pPr>
          </w:p>
          <w:p w14:paraId="2C4B10AC">
            <w:pPr>
              <w:spacing w:line="264" w:lineRule="auto"/>
              <w:jc w:val="center"/>
              <w:rPr>
                <w:color w:val="auto"/>
              </w:rPr>
            </w:pPr>
          </w:p>
          <w:p w14:paraId="638D0863">
            <w:pPr>
              <w:spacing w:before="78" w:line="254" w:lineRule="auto"/>
              <w:ind w:left="375" w:right="103" w:hanging="268"/>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程内容与</w:t>
            </w: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时俱进</w:t>
            </w:r>
          </w:p>
        </w:tc>
        <w:tc>
          <w:tcPr>
            <w:tcW w:w="7710" w:type="dxa"/>
            <w:gridSpan w:val="3"/>
          </w:tcPr>
          <w:p w14:paraId="2A4C13A4">
            <w:pPr>
              <w:spacing w:before="38" w:line="228" w:lineRule="auto"/>
              <w:ind w:left="87" w:right="82" w:firstLine="4"/>
              <w:rPr>
                <w:rFonts w:ascii="仿宋" w:hAnsi="仿宋" w:eastAsia="仿宋" w:cs="仿宋"/>
                <w:color w:val="auto"/>
                <w:sz w:val="24"/>
                <w:szCs w:val="24"/>
              </w:rPr>
            </w:pPr>
            <w:r>
              <w:rPr>
                <w:rFonts w:ascii="仿宋" w:hAnsi="仿宋" w:eastAsia="仿宋" w:cs="仿宋"/>
                <w:color w:val="auto"/>
                <w:spacing w:val="13"/>
                <w:sz w:val="24"/>
                <w:szCs w:val="24"/>
              </w:rPr>
              <w:t>落实课程思政建设要求，通过专业知识教育与思想政治教育</w:t>
            </w:r>
            <w:r>
              <w:rPr>
                <w:rFonts w:ascii="仿宋" w:hAnsi="仿宋" w:eastAsia="仿宋" w:cs="仿宋"/>
                <w:color w:val="auto"/>
                <w:spacing w:val="9"/>
                <w:sz w:val="24"/>
                <w:szCs w:val="24"/>
              </w:rPr>
              <w:t>的</w:t>
            </w:r>
            <w:r>
              <w:rPr>
                <w:rFonts w:ascii="仿宋" w:hAnsi="仿宋" w:eastAsia="仿宋" w:cs="仿宋"/>
                <w:color w:val="auto"/>
                <w:spacing w:val="16"/>
                <w:sz w:val="24"/>
                <w:szCs w:val="24"/>
              </w:rPr>
              <w:t>紧</w:t>
            </w:r>
            <w:r>
              <w:rPr>
                <w:rFonts w:ascii="仿宋" w:hAnsi="仿宋" w:eastAsia="仿宋" w:cs="仿宋"/>
                <w:color w:val="auto"/>
                <w:spacing w:val="10"/>
                <w:sz w:val="24"/>
                <w:szCs w:val="24"/>
              </w:rPr>
              <w:t>密</w:t>
            </w:r>
            <w:r>
              <w:rPr>
                <w:rFonts w:ascii="仿宋" w:hAnsi="仿宋" w:eastAsia="仿宋" w:cs="仿宋"/>
                <w:color w:val="auto"/>
                <w:spacing w:val="8"/>
                <w:sz w:val="24"/>
                <w:szCs w:val="24"/>
              </w:rPr>
              <w:t>融合，将价值塑造、知识传授和能力培养三者融为一体。</w:t>
            </w:r>
          </w:p>
        </w:tc>
      </w:tr>
      <w:tr w14:paraId="3ABC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444" w:type="dxa"/>
            <w:gridSpan w:val="4"/>
            <w:vMerge w:val="continue"/>
            <w:tcBorders>
              <w:top w:val="nil"/>
              <w:bottom w:val="nil"/>
            </w:tcBorders>
          </w:tcPr>
          <w:p w14:paraId="24B31DB1">
            <w:pPr>
              <w:jc w:val="center"/>
              <w:rPr>
                <w:color w:val="auto"/>
              </w:rPr>
            </w:pPr>
          </w:p>
        </w:tc>
        <w:tc>
          <w:tcPr>
            <w:tcW w:w="37" w:type="dxa"/>
            <w:tcBorders>
              <w:right w:val="single" w:color="FFFFFF" w:sz="2" w:space="0"/>
            </w:tcBorders>
          </w:tcPr>
          <w:p w14:paraId="66D44EDB">
            <w:pPr>
              <w:rPr>
                <w:color w:val="auto"/>
              </w:rPr>
            </w:pPr>
          </w:p>
        </w:tc>
        <w:tc>
          <w:tcPr>
            <w:tcW w:w="7433" w:type="dxa"/>
            <w:tcBorders>
              <w:left w:val="single" w:color="FFFFFF" w:sz="8" w:space="0"/>
              <w:right w:val="single" w:color="FFFFFF" w:sz="8" w:space="0"/>
            </w:tcBorders>
          </w:tcPr>
          <w:p w14:paraId="66D9325A">
            <w:pPr>
              <w:spacing w:before="38" w:line="233" w:lineRule="auto"/>
              <w:ind w:left="37" w:right="31"/>
              <w:rPr>
                <w:rFonts w:ascii="仿宋" w:hAnsi="仿宋" w:eastAsia="仿宋" w:cs="仿宋"/>
                <w:color w:val="auto"/>
                <w:sz w:val="24"/>
                <w:szCs w:val="24"/>
              </w:rPr>
            </w:pPr>
            <w:r>
              <w:rPr>
                <w:rFonts w:ascii="仿宋" w:hAnsi="仿宋" w:eastAsia="仿宋" w:cs="仿宋"/>
                <w:color w:val="auto"/>
                <w:spacing w:val="19"/>
                <w:sz w:val="24"/>
                <w:szCs w:val="24"/>
              </w:rPr>
              <w:t>体</w:t>
            </w:r>
            <w:r>
              <w:rPr>
                <w:rFonts w:ascii="仿宋" w:hAnsi="仿宋" w:eastAsia="仿宋" w:cs="仿宋"/>
                <w:color w:val="auto"/>
                <w:spacing w:val="13"/>
                <w:sz w:val="24"/>
                <w:szCs w:val="24"/>
              </w:rPr>
              <w:t>现前沿性与时代性要求，反映学科专业、行业先进的核心理</w:t>
            </w:r>
            <w:r>
              <w:rPr>
                <w:rFonts w:ascii="仿宋" w:hAnsi="仿宋" w:eastAsia="仿宋" w:cs="仿宋"/>
                <w:color w:val="auto"/>
                <w:spacing w:val="7"/>
                <w:sz w:val="24"/>
                <w:szCs w:val="24"/>
              </w:rPr>
              <w:t>论</w:t>
            </w:r>
            <w:r>
              <w:rPr>
                <w:rFonts w:ascii="仿宋" w:hAnsi="仿宋" w:eastAsia="仿宋" w:cs="仿宋"/>
                <w:color w:val="auto"/>
                <w:spacing w:val="4"/>
                <w:sz w:val="24"/>
                <w:szCs w:val="24"/>
              </w:rPr>
              <w:t>和成果，聚焦新工科、新医科、新农科、新文科建设，增加</w:t>
            </w:r>
            <w:r>
              <w:rPr>
                <w:rFonts w:ascii="仿宋" w:hAnsi="仿宋" w:eastAsia="仿宋" w:cs="仿宋"/>
                <w:color w:val="auto"/>
                <w:spacing w:val="19"/>
                <w:sz w:val="24"/>
                <w:szCs w:val="24"/>
              </w:rPr>
              <w:t>体</w:t>
            </w:r>
            <w:r>
              <w:rPr>
                <w:rFonts w:ascii="仿宋" w:hAnsi="仿宋" w:eastAsia="仿宋" w:cs="仿宋"/>
                <w:color w:val="auto"/>
                <w:spacing w:val="13"/>
                <w:sz w:val="24"/>
                <w:szCs w:val="24"/>
              </w:rPr>
              <w:t>现多学科思维融合、产业技术与学科理论融合、跨专业能力</w:t>
            </w:r>
            <w:r>
              <w:rPr>
                <w:rFonts w:ascii="仿宋" w:hAnsi="仿宋" w:eastAsia="仿宋" w:cs="仿宋"/>
                <w:color w:val="auto"/>
                <w:spacing w:val="6"/>
                <w:sz w:val="24"/>
                <w:szCs w:val="24"/>
              </w:rPr>
              <w:t>融合、多学科项目实践融合内容</w:t>
            </w:r>
            <w:r>
              <w:rPr>
                <w:rFonts w:ascii="仿宋" w:hAnsi="仿宋" w:eastAsia="仿宋" w:cs="仿宋"/>
                <w:color w:val="auto"/>
                <w:spacing w:val="5"/>
                <w:sz w:val="24"/>
                <w:szCs w:val="24"/>
              </w:rPr>
              <w:t>。</w:t>
            </w:r>
          </w:p>
        </w:tc>
        <w:tc>
          <w:tcPr>
            <w:tcW w:w="240" w:type="dxa"/>
            <w:tcBorders>
              <w:left w:val="single" w:color="FFFFFF" w:sz="8" w:space="0"/>
            </w:tcBorders>
          </w:tcPr>
          <w:p w14:paraId="6F573923">
            <w:pPr>
              <w:rPr>
                <w:color w:val="auto"/>
              </w:rPr>
            </w:pPr>
          </w:p>
        </w:tc>
      </w:tr>
      <w:tr w14:paraId="1D8A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4" w:type="dxa"/>
            <w:gridSpan w:val="4"/>
            <w:vMerge w:val="continue"/>
            <w:tcBorders>
              <w:top w:val="nil"/>
            </w:tcBorders>
          </w:tcPr>
          <w:p w14:paraId="533055A4">
            <w:pPr>
              <w:jc w:val="center"/>
              <w:rPr>
                <w:color w:val="auto"/>
              </w:rPr>
            </w:pPr>
          </w:p>
        </w:tc>
        <w:tc>
          <w:tcPr>
            <w:tcW w:w="37" w:type="dxa"/>
            <w:tcBorders>
              <w:right w:val="single" w:color="FFFFFF" w:sz="2" w:space="0"/>
            </w:tcBorders>
          </w:tcPr>
          <w:p w14:paraId="664DFCAC">
            <w:pPr>
              <w:rPr>
                <w:color w:val="auto"/>
              </w:rPr>
            </w:pPr>
          </w:p>
        </w:tc>
        <w:tc>
          <w:tcPr>
            <w:tcW w:w="7433" w:type="dxa"/>
            <w:tcBorders>
              <w:left w:val="single" w:color="FFFFFF" w:sz="8" w:space="0"/>
              <w:right w:val="nil"/>
            </w:tcBorders>
          </w:tcPr>
          <w:p w14:paraId="2CAE70EE">
            <w:pPr>
              <w:spacing w:before="35" w:line="232" w:lineRule="auto"/>
              <w:ind w:left="37" w:right="3"/>
              <w:rPr>
                <w:rFonts w:ascii="仿宋" w:hAnsi="仿宋" w:eastAsia="仿宋" w:cs="仿宋"/>
                <w:color w:val="auto"/>
                <w:sz w:val="24"/>
                <w:szCs w:val="24"/>
              </w:rPr>
            </w:pPr>
            <w:r>
              <w:rPr>
                <w:rFonts w:ascii="仿宋" w:hAnsi="仿宋" w:eastAsia="仿宋" w:cs="仿宋"/>
                <w:color w:val="auto"/>
                <w:spacing w:val="19"/>
                <w:sz w:val="24"/>
                <w:szCs w:val="24"/>
              </w:rPr>
              <w:t>保</w:t>
            </w:r>
            <w:r>
              <w:rPr>
                <w:rFonts w:ascii="仿宋" w:hAnsi="仿宋" w:eastAsia="仿宋" w:cs="仿宋"/>
                <w:color w:val="auto"/>
                <w:spacing w:val="13"/>
                <w:sz w:val="24"/>
                <w:szCs w:val="24"/>
              </w:rPr>
              <w:t>障教学资源的优质性与适用性，优先选择国家级和省级精品</w:t>
            </w:r>
            <w:r>
              <w:rPr>
                <w:rFonts w:ascii="仿宋" w:hAnsi="仿宋" w:eastAsia="仿宋" w:cs="仿宋"/>
                <w:color w:val="auto"/>
                <w:sz w:val="24"/>
                <w:szCs w:val="24"/>
              </w:rPr>
              <w:t xml:space="preserve"> </w:t>
            </w:r>
            <w:r>
              <w:rPr>
                <w:rFonts w:ascii="仿宋" w:hAnsi="仿宋" w:eastAsia="仿宋" w:cs="仿宋"/>
                <w:color w:val="auto"/>
                <w:spacing w:val="18"/>
                <w:sz w:val="24"/>
                <w:szCs w:val="24"/>
              </w:rPr>
              <w:t>在</w:t>
            </w:r>
            <w:r>
              <w:rPr>
                <w:rFonts w:ascii="仿宋" w:hAnsi="仿宋" w:eastAsia="仿宋" w:cs="仿宋"/>
                <w:color w:val="auto"/>
                <w:spacing w:val="13"/>
                <w:sz w:val="24"/>
                <w:szCs w:val="24"/>
              </w:rPr>
              <w:t>线开放课程等高质量在线课程资源，结合本校实际对课程内</w:t>
            </w:r>
            <w:r>
              <w:rPr>
                <w:rFonts w:ascii="仿宋" w:hAnsi="仿宋" w:eastAsia="仿宋" w:cs="仿宋"/>
                <w:color w:val="auto"/>
                <w:sz w:val="24"/>
                <w:szCs w:val="24"/>
              </w:rPr>
              <w:t xml:space="preserve"> </w:t>
            </w:r>
            <w:r>
              <w:rPr>
                <w:rFonts w:ascii="仿宋" w:hAnsi="仿宋" w:eastAsia="仿宋" w:cs="仿宋"/>
                <w:color w:val="auto"/>
                <w:spacing w:val="14"/>
                <w:sz w:val="24"/>
                <w:szCs w:val="24"/>
              </w:rPr>
              <w:t>容进</w:t>
            </w:r>
            <w:r>
              <w:rPr>
                <w:rFonts w:ascii="仿宋" w:hAnsi="仿宋" w:eastAsia="仿宋" w:cs="仿宋"/>
                <w:color w:val="auto"/>
                <w:spacing w:val="9"/>
                <w:sz w:val="24"/>
                <w:szCs w:val="24"/>
              </w:rPr>
              <w:t>行</w:t>
            </w:r>
            <w:r>
              <w:rPr>
                <w:rFonts w:ascii="仿宋" w:hAnsi="仿宋" w:eastAsia="仿宋" w:cs="仿宋"/>
                <w:color w:val="auto"/>
                <w:spacing w:val="7"/>
                <w:sz w:val="24"/>
                <w:szCs w:val="24"/>
              </w:rPr>
              <w:t>优化，线上、线下内容互补，充分体现混合式优势。</w:t>
            </w:r>
          </w:p>
        </w:tc>
        <w:tc>
          <w:tcPr>
            <w:tcW w:w="240" w:type="dxa"/>
            <w:tcBorders>
              <w:left w:val="nil"/>
            </w:tcBorders>
            <w:shd w:val="clear" w:color="auto" w:fill="FFFFFF"/>
          </w:tcPr>
          <w:p w14:paraId="1BDECE9D">
            <w:pPr>
              <w:rPr>
                <w:color w:val="auto"/>
              </w:rPr>
            </w:pPr>
          </w:p>
        </w:tc>
      </w:tr>
      <w:tr w14:paraId="1C89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444" w:type="dxa"/>
            <w:gridSpan w:val="4"/>
            <w:vMerge w:val="restart"/>
            <w:tcBorders>
              <w:bottom w:val="nil"/>
            </w:tcBorders>
            <w:vAlign w:val="center"/>
          </w:tcPr>
          <w:p w14:paraId="169C3BE1">
            <w:pPr>
              <w:spacing w:before="78" w:line="253" w:lineRule="auto"/>
              <w:ind w:left="467" w:right="103" w:hanging="361"/>
              <w:jc w:val="cente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pP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教与学</w:t>
            </w:r>
          </w:p>
          <w:p w14:paraId="1831C8C4">
            <w:pPr>
              <w:spacing w:before="78" w:line="253" w:lineRule="auto"/>
              <w:ind w:left="467" w:right="103" w:hanging="361"/>
              <w:jc w:val="center"/>
              <w:rPr>
                <w:rFonts w:ascii="仿宋" w:hAnsi="仿宋" w:eastAsia="仿宋" w:cs="仿宋"/>
                <w:color w:val="auto"/>
                <w:sz w:val="24"/>
                <w:szCs w:val="24"/>
              </w:rPr>
            </w:pP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发</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生</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改</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变</w:t>
            </w:r>
          </w:p>
        </w:tc>
        <w:tc>
          <w:tcPr>
            <w:tcW w:w="37" w:type="dxa"/>
            <w:tcBorders>
              <w:right w:val="single" w:color="FFFFFF" w:sz="2" w:space="0"/>
            </w:tcBorders>
          </w:tcPr>
          <w:p w14:paraId="46E77E5C">
            <w:pPr>
              <w:rPr>
                <w:color w:val="auto"/>
              </w:rPr>
            </w:pPr>
          </w:p>
        </w:tc>
        <w:tc>
          <w:tcPr>
            <w:tcW w:w="7433" w:type="dxa"/>
            <w:tcBorders>
              <w:left w:val="single" w:color="FFFFFF" w:sz="8" w:space="0"/>
              <w:right w:val="single" w:color="FFFFFF" w:sz="8" w:space="0"/>
            </w:tcBorders>
          </w:tcPr>
          <w:p w14:paraId="69BFEEF0">
            <w:pPr>
              <w:spacing w:before="37" w:line="235" w:lineRule="auto"/>
              <w:ind w:left="37" w:right="31" w:firstLine="23"/>
              <w:rPr>
                <w:rFonts w:ascii="仿宋" w:hAnsi="仿宋" w:eastAsia="仿宋" w:cs="仿宋"/>
                <w:color w:val="auto"/>
                <w:sz w:val="24"/>
                <w:szCs w:val="24"/>
              </w:rPr>
            </w:pPr>
            <w:r>
              <w:rPr>
                <w:rFonts w:ascii="仿宋" w:hAnsi="仿宋" w:eastAsia="仿宋" w:cs="仿宋"/>
                <w:color w:val="auto"/>
                <w:spacing w:val="7"/>
                <w:sz w:val="24"/>
                <w:szCs w:val="24"/>
              </w:rPr>
              <w:t>以教为中心向以学为中心转变，符合“安排 20-50%的教学时</w:t>
            </w:r>
            <w:r>
              <w:rPr>
                <w:rFonts w:ascii="仿宋" w:hAnsi="仿宋" w:eastAsia="仿宋" w:cs="仿宋"/>
                <w:color w:val="auto"/>
                <w:spacing w:val="5"/>
                <w:sz w:val="24"/>
                <w:szCs w:val="24"/>
              </w:rPr>
              <w:t>间</w:t>
            </w:r>
            <w:r>
              <w:rPr>
                <w:rFonts w:ascii="仿宋" w:hAnsi="仿宋" w:eastAsia="仿宋" w:cs="仿宋"/>
                <w:color w:val="auto"/>
                <w:spacing w:val="12"/>
                <w:sz w:val="24"/>
                <w:szCs w:val="24"/>
              </w:rPr>
              <w:t>实施学</w:t>
            </w:r>
            <w:r>
              <w:rPr>
                <w:rFonts w:ascii="仿宋" w:hAnsi="仿宋" w:eastAsia="仿宋" w:cs="仿宋"/>
                <w:color w:val="auto"/>
                <w:spacing w:val="8"/>
                <w:sz w:val="24"/>
                <w:szCs w:val="24"/>
              </w:rPr>
              <w:t>生</w:t>
            </w:r>
            <w:r>
              <w:rPr>
                <w:rFonts w:ascii="仿宋" w:hAnsi="仿宋" w:eastAsia="仿宋" w:cs="仿宋"/>
                <w:color w:val="auto"/>
                <w:spacing w:val="6"/>
                <w:sz w:val="24"/>
                <w:szCs w:val="24"/>
              </w:rPr>
              <w:t>线上自主学习”基本要求，以提升教学效果为目的，</w:t>
            </w:r>
            <w:r>
              <w:rPr>
                <w:rFonts w:ascii="仿宋" w:hAnsi="仿宋" w:eastAsia="仿宋" w:cs="仿宋"/>
                <w:color w:val="auto"/>
                <w:spacing w:val="19"/>
                <w:sz w:val="24"/>
                <w:szCs w:val="24"/>
              </w:rPr>
              <w:t>因</w:t>
            </w:r>
            <w:r>
              <w:rPr>
                <w:rFonts w:ascii="仿宋" w:hAnsi="仿宋" w:eastAsia="仿宋" w:cs="仿宋"/>
                <w:color w:val="auto"/>
                <w:spacing w:val="13"/>
                <w:sz w:val="24"/>
                <w:szCs w:val="24"/>
              </w:rPr>
              <w:t>材施教，运用适当的数字化教学工具创新教学方式方法，有</w:t>
            </w:r>
            <w:r>
              <w:rPr>
                <w:rFonts w:ascii="仿宋" w:hAnsi="仿宋" w:eastAsia="仿宋" w:cs="仿宋"/>
                <w:color w:val="auto"/>
                <w:spacing w:val="19"/>
                <w:sz w:val="24"/>
                <w:szCs w:val="24"/>
              </w:rPr>
              <w:t>效</w:t>
            </w:r>
            <w:r>
              <w:rPr>
                <w:rFonts w:ascii="仿宋" w:hAnsi="仿宋" w:eastAsia="仿宋" w:cs="仿宋"/>
                <w:color w:val="auto"/>
                <w:spacing w:val="13"/>
                <w:sz w:val="24"/>
                <w:szCs w:val="24"/>
              </w:rPr>
              <w:t>开展线上与线下密切衔接的全过程教学活动。实施打破传统</w:t>
            </w:r>
            <w:r>
              <w:rPr>
                <w:rFonts w:ascii="仿宋" w:hAnsi="仿宋" w:eastAsia="仿宋" w:cs="仿宋"/>
                <w:color w:val="auto"/>
                <w:spacing w:val="20"/>
                <w:sz w:val="24"/>
                <w:szCs w:val="24"/>
              </w:rPr>
              <w:t>课</w:t>
            </w:r>
            <w:r>
              <w:rPr>
                <w:rFonts w:ascii="仿宋" w:hAnsi="仿宋" w:eastAsia="仿宋" w:cs="仿宋"/>
                <w:color w:val="auto"/>
                <w:spacing w:val="13"/>
                <w:sz w:val="24"/>
                <w:szCs w:val="24"/>
              </w:rPr>
              <w:t>堂“满堂灌”和沉默状态的方式方法，训练学生问题解决能</w:t>
            </w:r>
            <w:r>
              <w:rPr>
                <w:rFonts w:ascii="仿宋" w:hAnsi="仿宋" w:eastAsia="仿宋" w:cs="仿宋"/>
                <w:color w:val="auto"/>
                <w:spacing w:val="8"/>
                <w:sz w:val="24"/>
                <w:szCs w:val="24"/>
              </w:rPr>
              <w:t>力</w:t>
            </w:r>
            <w:r>
              <w:rPr>
                <w:rFonts w:ascii="仿宋" w:hAnsi="仿宋" w:eastAsia="仿宋" w:cs="仿宋"/>
                <w:color w:val="auto"/>
                <w:spacing w:val="6"/>
                <w:sz w:val="24"/>
                <w:szCs w:val="24"/>
              </w:rPr>
              <w:t>和审辩式思维能力。</w:t>
            </w:r>
          </w:p>
        </w:tc>
        <w:tc>
          <w:tcPr>
            <w:tcW w:w="240" w:type="dxa"/>
            <w:tcBorders>
              <w:left w:val="single" w:color="FFFFFF" w:sz="8" w:space="0"/>
            </w:tcBorders>
          </w:tcPr>
          <w:p w14:paraId="21570432">
            <w:pPr>
              <w:rPr>
                <w:color w:val="auto"/>
              </w:rPr>
            </w:pPr>
          </w:p>
        </w:tc>
      </w:tr>
      <w:tr w14:paraId="32F86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44" w:type="dxa"/>
            <w:gridSpan w:val="4"/>
            <w:vMerge w:val="continue"/>
            <w:tcBorders>
              <w:top w:val="nil"/>
            </w:tcBorders>
          </w:tcPr>
          <w:p w14:paraId="7647A3C4">
            <w:pPr>
              <w:jc w:val="center"/>
              <w:rPr>
                <w:color w:val="auto"/>
              </w:rPr>
            </w:pPr>
          </w:p>
        </w:tc>
        <w:tc>
          <w:tcPr>
            <w:tcW w:w="37" w:type="dxa"/>
            <w:tcBorders>
              <w:right w:val="single" w:color="FFFFFF" w:sz="2" w:space="0"/>
            </w:tcBorders>
          </w:tcPr>
          <w:p w14:paraId="66B1B55E">
            <w:pPr>
              <w:rPr>
                <w:color w:val="auto"/>
              </w:rPr>
            </w:pPr>
          </w:p>
        </w:tc>
        <w:tc>
          <w:tcPr>
            <w:tcW w:w="7433" w:type="dxa"/>
            <w:tcBorders>
              <w:left w:val="single" w:color="FFFFFF" w:sz="8" w:space="0"/>
              <w:right w:val="single" w:color="FFFFFF" w:sz="8" w:space="0"/>
            </w:tcBorders>
          </w:tcPr>
          <w:p w14:paraId="55D9E20A">
            <w:pPr>
              <w:spacing w:before="37" w:line="231" w:lineRule="auto"/>
              <w:ind w:left="44" w:right="32" w:firstLine="2"/>
              <w:rPr>
                <w:rFonts w:ascii="仿宋" w:hAnsi="仿宋" w:eastAsia="仿宋" w:cs="仿宋"/>
                <w:color w:val="auto"/>
                <w:sz w:val="24"/>
                <w:szCs w:val="24"/>
              </w:rPr>
            </w:pPr>
            <w:r>
              <w:rPr>
                <w:rFonts w:ascii="仿宋" w:hAnsi="仿宋" w:eastAsia="仿宋" w:cs="仿宋"/>
                <w:color w:val="auto"/>
                <w:spacing w:val="12"/>
                <w:sz w:val="24"/>
                <w:szCs w:val="24"/>
              </w:rPr>
              <w:t>学</w:t>
            </w:r>
            <w:r>
              <w:rPr>
                <w:rFonts w:ascii="仿宋" w:hAnsi="仿宋" w:eastAsia="仿宋" w:cs="仿宋"/>
                <w:color w:val="auto"/>
                <w:spacing w:val="11"/>
                <w:sz w:val="24"/>
                <w:szCs w:val="24"/>
              </w:rPr>
              <w:t>生学习方式有显著变化，安排学生个别化学习与合作学习，</w:t>
            </w:r>
            <w:r>
              <w:rPr>
                <w:rFonts w:ascii="仿宋" w:hAnsi="仿宋" w:eastAsia="仿宋" w:cs="仿宋"/>
                <w:color w:val="auto"/>
                <w:spacing w:val="13"/>
                <w:sz w:val="24"/>
                <w:szCs w:val="24"/>
              </w:rPr>
              <w:t>强化课堂教学师生互动、生生互动环节，加强研究型、项目</w:t>
            </w:r>
            <w:r>
              <w:rPr>
                <w:rFonts w:ascii="仿宋" w:hAnsi="仿宋" w:eastAsia="仿宋" w:cs="仿宋"/>
                <w:color w:val="auto"/>
                <w:spacing w:val="12"/>
                <w:sz w:val="24"/>
                <w:szCs w:val="24"/>
              </w:rPr>
              <w:t>式</w:t>
            </w:r>
            <w:r>
              <w:rPr>
                <w:rFonts w:ascii="仿宋" w:hAnsi="仿宋" w:eastAsia="仿宋" w:cs="仿宋"/>
                <w:color w:val="auto"/>
                <w:spacing w:val="-9"/>
                <w:sz w:val="24"/>
                <w:szCs w:val="24"/>
              </w:rPr>
              <w:t>学</w:t>
            </w:r>
            <w:r>
              <w:rPr>
                <w:rFonts w:ascii="仿宋" w:hAnsi="仿宋" w:eastAsia="仿宋" w:cs="仿宋"/>
                <w:color w:val="auto"/>
                <w:spacing w:val="-8"/>
                <w:sz w:val="24"/>
                <w:szCs w:val="24"/>
              </w:rPr>
              <w:t>习。</w:t>
            </w:r>
          </w:p>
        </w:tc>
        <w:tc>
          <w:tcPr>
            <w:tcW w:w="240" w:type="dxa"/>
            <w:tcBorders>
              <w:left w:val="single" w:color="FFFFFF" w:sz="8" w:space="0"/>
            </w:tcBorders>
          </w:tcPr>
          <w:p w14:paraId="24C55F09">
            <w:pPr>
              <w:rPr>
                <w:color w:val="auto"/>
              </w:rPr>
            </w:pPr>
          </w:p>
        </w:tc>
      </w:tr>
      <w:tr w14:paraId="0EE0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44" w:type="dxa"/>
            <w:gridSpan w:val="4"/>
            <w:vMerge w:val="restart"/>
            <w:tcBorders>
              <w:bottom w:val="nil"/>
            </w:tcBorders>
          </w:tcPr>
          <w:p w14:paraId="375339CE">
            <w:pPr>
              <w:spacing w:line="292" w:lineRule="auto"/>
              <w:jc w:val="center"/>
              <w:rPr>
                <w:color w:val="auto"/>
              </w:rPr>
            </w:pPr>
          </w:p>
          <w:p w14:paraId="1E466208">
            <w:pPr>
              <w:spacing w:line="292" w:lineRule="auto"/>
              <w:jc w:val="center"/>
              <w:rPr>
                <w:color w:val="auto"/>
              </w:rPr>
            </w:pPr>
          </w:p>
          <w:p w14:paraId="287B5CBC">
            <w:pPr>
              <w:spacing w:before="78" w:line="252" w:lineRule="auto"/>
              <w:ind w:left="608" w:right="103" w:hanging="501"/>
              <w:jc w:val="cente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评</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价</w:t>
            </w:r>
          </w:p>
          <w:p w14:paraId="4F86145D">
            <w:pPr>
              <w:spacing w:before="78" w:line="252" w:lineRule="auto"/>
              <w:ind w:left="608" w:right="103" w:hanging="501"/>
              <w:jc w:val="center"/>
              <w:rPr>
                <w:rFonts w:ascii="仿宋" w:hAnsi="仿宋" w:eastAsia="仿宋" w:cs="仿宋"/>
                <w:color w:val="auto"/>
                <w:sz w:val="24"/>
                <w:szCs w:val="24"/>
              </w:rPr>
            </w:pP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拓展深</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化</w:t>
            </w:r>
          </w:p>
        </w:tc>
        <w:tc>
          <w:tcPr>
            <w:tcW w:w="37" w:type="dxa"/>
            <w:tcBorders>
              <w:right w:val="single" w:color="FFFFFF" w:sz="2" w:space="0"/>
            </w:tcBorders>
          </w:tcPr>
          <w:p w14:paraId="31EF6D31">
            <w:pPr>
              <w:rPr>
                <w:color w:val="auto"/>
              </w:rPr>
            </w:pPr>
          </w:p>
        </w:tc>
        <w:tc>
          <w:tcPr>
            <w:tcW w:w="7433" w:type="dxa"/>
            <w:tcBorders>
              <w:left w:val="single" w:color="FFFFFF" w:sz="8" w:space="0"/>
              <w:right w:val="single" w:color="FFFFFF" w:sz="8" w:space="0"/>
            </w:tcBorders>
          </w:tcPr>
          <w:p w14:paraId="1B984E58">
            <w:pPr>
              <w:spacing w:before="37" w:line="231" w:lineRule="auto"/>
              <w:ind w:left="41" w:right="32" w:hanging="4"/>
              <w:rPr>
                <w:rFonts w:ascii="仿宋" w:hAnsi="仿宋" w:eastAsia="仿宋" w:cs="仿宋"/>
                <w:color w:val="auto"/>
                <w:sz w:val="24"/>
                <w:szCs w:val="24"/>
              </w:rPr>
            </w:pPr>
            <w:r>
              <w:rPr>
                <w:rFonts w:ascii="仿宋" w:hAnsi="仿宋" w:eastAsia="仿宋" w:cs="仿宋"/>
                <w:color w:val="auto"/>
                <w:spacing w:val="19"/>
                <w:sz w:val="24"/>
                <w:szCs w:val="24"/>
              </w:rPr>
              <w:t>考</w:t>
            </w:r>
            <w:r>
              <w:rPr>
                <w:rFonts w:ascii="仿宋" w:hAnsi="仿宋" w:eastAsia="仿宋" w:cs="仿宋"/>
                <w:color w:val="auto"/>
                <w:spacing w:val="13"/>
                <w:sz w:val="24"/>
                <w:szCs w:val="24"/>
              </w:rPr>
              <w:t>核方式多元，丰富探究式、论文式、报告答辩式等作业评价</w:t>
            </w:r>
            <w:r>
              <w:rPr>
                <w:rFonts w:ascii="仿宋" w:hAnsi="仿宋" w:eastAsia="仿宋" w:cs="仿宋"/>
                <w:color w:val="auto"/>
                <w:spacing w:val="14"/>
                <w:sz w:val="24"/>
                <w:szCs w:val="24"/>
              </w:rPr>
              <w:t>方</w:t>
            </w:r>
            <w:r>
              <w:rPr>
                <w:rFonts w:ascii="仿宋" w:hAnsi="仿宋" w:eastAsia="仿宋" w:cs="仿宋"/>
                <w:color w:val="auto"/>
                <w:spacing w:val="13"/>
                <w:sz w:val="24"/>
                <w:szCs w:val="24"/>
              </w:rPr>
              <w:t>式，加强非标准化、综合性等评价，评价手段恰当必要，契</w:t>
            </w:r>
            <w:r>
              <w:rPr>
                <w:rFonts w:ascii="仿宋" w:hAnsi="仿宋" w:eastAsia="仿宋" w:cs="仿宋"/>
                <w:color w:val="auto"/>
                <w:spacing w:val="8"/>
                <w:sz w:val="24"/>
                <w:szCs w:val="24"/>
              </w:rPr>
              <w:t>合相</w:t>
            </w:r>
            <w:r>
              <w:rPr>
                <w:rFonts w:ascii="仿宋" w:hAnsi="仿宋" w:eastAsia="仿宋" w:cs="仿宋"/>
                <w:color w:val="auto"/>
                <w:spacing w:val="4"/>
                <w:sz w:val="24"/>
                <w:szCs w:val="24"/>
              </w:rPr>
              <w:t>对应的人才培养类型。</w:t>
            </w:r>
          </w:p>
        </w:tc>
        <w:tc>
          <w:tcPr>
            <w:tcW w:w="240" w:type="dxa"/>
            <w:tcBorders>
              <w:left w:val="single" w:color="FFFFFF" w:sz="8" w:space="0"/>
            </w:tcBorders>
          </w:tcPr>
          <w:p w14:paraId="403F53B4">
            <w:pPr>
              <w:rPr>
                <w:color w:val="auto"/>
              </w:rPr>
            </w:pPr>
          </w:p>
        </w:tc>
      </w:tr>
      <w:tr w14:paraId="62E2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44" w:type="dxa"/>
            <w:gridSpan w:val="4"/>
            <w:vMerge w:val="continue"/>
            <w:tcBorders>
              <w:top w:val="nil"/>
            </w:tcBorders>
          </w:tcPr>
          <w:p w14:paraId="249CA599">
            <w:pPr>
              <w:jc w:val="center"/>
              <w:rPr>
                <w:color w:val="auto"/>
              </w:rPr>
            </w:pPr>
          </w:p>
        </w:tc>
        <w:tc>
          <w:tcPr>
            <w:tcW w:w="37" w:type="dxa"/>
            <w:tcBorders>
              <w:right w:val="single" w:color="FFFFFF" w:sz="2" w:space="0"/>
            </w:tcBorders>
          </w:tcPr>
          <w:p w14:paraId="52EF2AA6">
            <w:pPr>
              <w:rPr>
                <w:color w:val="auto"/>
              </w:rPr>
            </w:pPr>
          </w:p>
        </w:tc>
        <w:tc>
          <w:tcPr>
            <w:tcW w:w="7433" w:type="dxa"/>
            <w:tcBorders>
              <w:left w:val="single" w:color="FFFFFF" w:sz="8" w:space="0"/>
              <w:right w:val="single" w:color="FFFFFF" w:sz="8" w:space="0"/>
            </w:tcBorders>
          </w:tcPr>
          <w:p w14:paraId="7D72460A">
            <w:pPr>
              <w:spacing w:before="37" w:line="231" w:lineRule="auto"/>
              <w:ind w:left="37" w:right="32"/>
              <w:rPr>
                <w:rFonts w:ascii="仿宋" w:hAnsi="仿宋" w:eastAsia="仿宋" w:cs="仿宋"/>
                <w:color w:val="auto"/>
                <w:sz w:val="24"/>
                <w:szCs w:val="24"/>
              </w:rPr>
            </w:pPr>
            <w:r>
              <w:rPr>
                <w:rFonts w:ascii="仿宋" w:hAnsi="仿宋" w:eastAsia="仿宋" w:cs="仿宋"/>
                <w:color w:val="auto"/>
                <w:spacing w:val="19"/>
                <w:sz w:val="24"/>
                <w:szCs w:val="24"/>
              </w:rPr>
              <w:t>考</w:t>
            </w:r>
            <w:r>
              <w:rPr>
                <w:rFonts w:ascii="仿宋" w:hAnsi="仿宋" w:eastAsia="仿宋" w:cs="仿宋"/>
                <w:color w:val="auto"/>
                <w:spacing w:val="13"/>
                <w:sz w:val="24"/>
                <w:szCs w:val="24"/>
              </w:rPr>
              <w:t>试考核评价严格，体现过程评价，注重学习效果评价。学生</w:t>
            </w:r>
            <w:r>
              <w:rPr>
                <w:rFonts w:ascii="仿宋" w:hAnsi="仿宋" w:eastAsia="仿宋" w:cs="仿宋"/>
                <w:color w:val="auto"/>
                <w:spacing w:val="19"/>
                <w:sz w:val="24"/>
                <w:szCs w:val="24"/>
              </w:rPr>
              <w:t>线</w:t>
            </w:r>
            <w:r>
              <w:rPr>
                <w:rFonts w:ascii="仿宋" w:hAnsi="仿宋" w:eastAsia="仿宋" w:cs="仿宋"/>
                <w:color w:val="auto"/>
                <w:spacing w:val="13"/>
                <w:sz w:val="24"/>
                <w:szCs w:val="24"/>
              </w:rPr>
              <w:t>上自主学习、作业和测试等评价与参加线下教学活动的评价</w:t>
            </w:r>
            <w:r>
              <w:rPr>
                <w:rFonts w:ascii="仿宋" w:hAnsi="仿宋" w:eastAsia="仿宋" w:cs="仿宋"/>
                <w:color w:val="auto"/>
                <w:spacing w:val="14"/>
                <w:sz w:val="24"/>
                <w:szCs w:val="24"/>
              </w:rPr>
              <w:t>连</w:t>
            </w:r>
            <w:r>
              <w:rPr>
                <w:rFonts w:ascii="仿宋" w:hAnsi="仿宋" w:eastAsia="仿宋" w:cs="仿宋"/>
                <w:color w:val="auto"/>
                <w:spacing w:val="7"/>
                <w:sz w:val="24"/>
                <w:szCs w:val="24"/>
              </w:rPr>
              <w:t>贯完整，过程可回溯，诊断改进积极有效。</w:t>
            </w:r>
          </w:p>
        </w:tc>
        <w:tc>
          <w:tcPr>
            <w:tcW w:w="240" w:type="dxa"/>
            <w:tcBorders>
              <w:left w:val="single" w:color="FFFFFF" w:sz="8" w:space="0"/>
            </w:tcBorders>
          </w:tcPr>
          <w:p w14:paraId="66D42314">
            <w:pPr>
              <w:rPr>
                <w:color w:val="auto"/>
              </w:rPr>
            </w:pPr>
          </w:p>
        </w:tc>
      </w:tr>
      <w:tr w14:paraId="00E3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4" w:type="dxa"/>
            <w:gridSpan w:val="4"/>
            <w:vMerge w:val="restart"/>
            <w:tcBorders>
              <w:bottom w:val="nil"/>
            </w:tcBorders>
            <w:vAlign w:val="center"/>
          </w:tcPr>
          <w:p w14:paraId="7C50DFC0">
            <w:pPr>
              <w:spacing w:line="242" w:lineRule="auto"/>
              <w:jc w:val="center"/>
              <w:rPr>
                <w:color w:val="auto"/>
              </w:rPr>
            </w:pPr>
          </w:p>
          <w:p w14:paraId="3CB7F904">
            <w:pPr>
              <w:spacing w:line="243" w:lineRule="auto"/>
              <w:jc w:val="center"/>
              <w:rPr>
                <w:color w:val="auto"/>
              </w:rPr>
            </w:pPr>
          </w:p>
          <w:p w14:paraId="065CE940">
            <w:pPr>
              <w:spacing w:line="243" w:lineRule="auto"/>
              <w:jc w:val="center"/>
              <w:rPr>
                <w:color w:val="auto"/>
              </w:rPr>
            </w:pPr>
          </w:p>
          <w:p w14:paraId="0D53EBF4">
            <w:pPr>
              <w:spacing w:before="78" w:line="253" w:lineRule="auto"/>
              <w:ind w:left="612" w:right="103" w:hanging="492"/>
              <w:jc w:val="cente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pP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改革</w:t>
            </w:r>
          </w:p>
          <w:p w14:paraId="56F74486">
            <w:pPr>
              <w:spacing w:before="78" w:line="253" w:lineRule="auto"/>
              <w:ind w:left="612" w:right="103" w:hanging="492"/>
              <w:jc w:val="center"/>
              <w:rPr>
                <w:rFonts w:ascii="仿宋" w:hAnsi="仿宋" w:eastAsia="仿宋" w:cs="仿宋"/>
                <w:color w:val="auto"/>
                <w:sz w:val="24"/>
                <w:szCs w:val="24"/>
              </w:rPr>
            </w:pP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行之有</w:t>
            </w:r>
            <w:r>
              <w:rPr>
                <w:rFonts w:ascii="仿宋" w:hAnsi="仿宋" w:eastAsia="仿宋" w:cs="仿宋"/>
                <w:color w:val="auto"/>
                <w:sz w:val="24"/>
                <w:szCs w:val="24"/>
                <w14:textOutline w14:w="4356" w14:cap="flat" w14:cmpd="sng" w14:algn="ctr">
                  <w14:solidFill>
                    <w14:srgbClr w14:val="000000"/>
                  </w14:solidFill>
                  <w14:prstDash w14:val="solid"/>
                  <w14:miter w14:val="0"/>
                </w14:textOutline>
              </w:rPr>
              <w:t>效</w:t>
            </w:r>
          </w:p>
        </w:tc>
        <w:tc>
          <w:tcPr>
            <w:tcW w:w="7710" w:type="dxa"/>
            <w:gridSpan w:val="3"/>
          </w:tcPr>
          <w:p w14:paraId="6055B8A9">
            <w:pPr>
              <w:spacing w:before="40" w:line="226" w:lineRule="auto"/>
              <w:ind w:left="91" w:right="82"/>
              <w:rPr>
                <w:rFonts w:ascii="仿宋" w:hAnsi="仿宋" w:eastAsia="仿宋" w:cs="仿宋"/>
                <w:color w:val="auto"/>
                <w:sz w:val="24"/>
                <w:szCs w:val="24"/>
              </w:rPr>
            </w:pPr>
            <w:r>
              <w:rPr>
                <w:rFonts w:ascii="仿宋" w:hAnsi="仿宋" w:eastAsia="仿宋" w:cs="仿宋"/>
                <w:color w:val="auto"/>
                <w:spacing w:val="13"/>
                <w:sz w:val="24"/>
                <w:szCs w:val="24"/>
              </w:rPr>
              <w:t>学习效果提升，学生对课程的参与度、学习获得感、对教师</w:t>
            </w:r>
            <w:r>
              <w:rPr>
                <w:rFonts w:ascii="仿宋" w:hAnsi="仿宋" w:eastAsia="仿宋" w:cs="仿宋"/>
                <w:color w:val="auto"/>
                <w:spacing w:val="10"/>
                <w:sz w:val="24"/>
                <w:szCs w:val="24"/>
              </w:rPr>
              <w:t>教学</w:t>
            </w:r>
            <w:r>
              <w:rPr>
                <w:rFonts w:ascii="仿宋" w:hAnsi="仿宋" w:eastAsia="仿宋" w:cs="仿宋"/>
                <w:color w:val="auto"/>
                <w:spacing w:val="5"/>
                <w:sz w:val="24"/>
                <w:szCs w:val="24"/>
              </w:rPr>
              <w:t>以及课程的满意度有明显提高。</w:t>
            </w:r>
          </w:p>
        </w:tc>
      </w:tr>
      <w:tr w14:paraId="100E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44" w:type="dxa"/>
            <w:gridSpan w:val="4"/>
            <w:vMerge w:val="continue"/>
            <w:tcBorders>
              <w:top w:val="nil"/>
              <w:bottom w:val="nil"/>
            </w:tcBorders>
          </w:tcPr>
          <w:p w14:paraId="6A9B350B">
            <w:pPr>
              <w:jc w:val="center"/>
              <w:rPr>
                <w:color w:val="auto"/>
              </w:rPr>
            </w:pPr>
          </w:p>
        </w:tc>
        <w:tc>
          <w:tcPr>
            <w:tcW w:w="37" w:type="dxa"/>
            <w:tcBorders>
              <w:right w:val="single" w:color="FFFFFF" w:sz="2" w:space="0"/>
            </w:tcBorders>
          </w:tcPr>
          <w:p w14:paraId="440FC6B2">
            <w:pPr>
              <w:rPr>
                <w:color w:val="auto"/>
              </w:rPr>
            </w:pPr>
          </w:p>
        </w:tc>
        <w:tc>
          <w:tcPr>
            <w:tcW w:w="7433" w:type="dxa"/>
            <w:tcBorders>
              <w:left w:val="single" w:color="FFFFFF" w:sz="8" w:space="0"/>
              <w:right w:val="single" w:color="FFFFFF" w:sz="8" w:space="0"/>
            </w:tcBorders>
          </w:tcPr>
          <w:p w14:paraId="1DD8F1F4">
            <w:pPr>
              <w:spacing w:before="37" w:line="231" w:lineRule="auto"/>
              <w:ind w:left="35" w:right="32" w:firstLine="13"/>
              <w:rPr>
                <w:rFonts w:ascii="仿宋" w:hAnsi="仿宋" w:eastAsia="仿宋" w:cs="仿宋"/>
                <w:color w:val="auto"/>
                <w:sz w:val="24"/>
                <w:szCs w:val="24"/>
              </w:rPr>
            </w:pPr>
            <w:r>
              <w:rPr>
                <w:rFonts w:ascii="仿宋" w:hAnsi="仿宋" w:eastAsia="仿宋" w:cs="仿宋"/>
                <w:color w:val="auto"/>
                <w:spacing w:val="24"/>
                <w:sz w:val="24"/>
                <w:szCs w:val="24"/>
              </w:rPr>
              <w:t>改</w:t>
            </w:r>
            <w:r>
              <w:rPr>
                <w:rFonts w:ascii="仿宋" w:hAnsi="仿宋" w:eastAsia="仿宋" w:cs="仿宋"/>
                <w:color w:val="auto"/>
                <w:spacing w:val="21"/>
                <w:sz w:val="24"/>
                <w:szCs w:val="24"/>
              </w:rPr>
              <w:t>革</w:t>
            </w:r>
            <w:r>
              <w:rPr>
                <w:rFonts w:ascii="仿宋" w:hAnsi="仿宋" w:eastAsia="仿宋" w:cs="仿宋"/>
                <w:color w:val="auto"/>
                <w:spacing w:val="12"/>
                <w:sz w:val="24"/>
                <w:szCs w:val="24"/>
              </w:rPr>
              <w:t>迭代优化，有意识地收集数据开展教学反思、教学研究和</w:t>
            </w:r>
            <w:r>
              <w:rPr>
                <w:rFonts w:ascii="仿宋" w:hAnsi="仿宋" w:eastAsia="仿宋" w:cs="仿宋"/>
                <w:color w:val="auto"/>
                <w:spacing w:val="21"/>
                <w:sz w:val="24"/>
                <w:szCs w:val="24"/>
              </w:rPr>
              <w:t>教</w:t>
            </w:r>
            <w:r>
              <w:rPr>
                <w:rFonts w:ascii="仿宋" w:hAnsi="仿宋" w:eastAsia="仿宋" w:cs="仿宋"/>
                <w:color w:val="auto"/>
                <w:spacing w:val="13"/>
                <w:sz w:val="24"/>
                <w:szCs w:val="24"/>
              </w:rPr>
              <w:t>学改进。在多期混合式教学中进行迭代，不断优化教学的设</w:t>
            </w:r>
            <w:r>
              <w:rPr>
                <w:rFonts w:ascii="仿宋" w:hAnsi="仿宋" w:eastAsia="仿宋" w:cs="仿宋"/>
                <w:color w:val="auto"/>
                <w:spacing w:val="-2"/>
                <w:sz w:val="24"/>
                <w:szCs w:val="24"/>
              </w:rPr>
              <w:t>计和</w:t>
            </w:r>
            <w:r>
              <w:rPr>
                <w:rFonts w:ascii="仿宋" w:hAnsi="仿宋" w:eastAsia="仿宋" w:cs="仿宋"/>
                <w:color w:val="auto"/>
                <w:spacing w:val="-1"/>
                <w:sz w:val="24"/>
                <w:szCs w:val="24"/>
              </w:rPr>
              <w:t>实施。</w:t>
            </w:r>
          </w:p>
        </w:tc>
        <w:tc>
          <w:tcPr>
            <w:tcW w:w="240" w:type="dxa"/>
            <w:tcBorders>
              <w:left w:val="single" w:color="FFFFFF" w:sz="8" w:space="0"/>
            </w:tcBorders>
          </w:tcPr>
          <w:p w14:paraId="63677119">
            <w:pPr>
              <w:rPr>
                <w:color w:val="auto"/>
              </w:rPr>
            </w:pPr>
          </w:p>
        </w:tc>
      </w:tr>
      <w:tr w14:paraId="3826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4" w:type="dxa"/>
            <w:gridSpan w:val="4"/>
            <w:vMerge w:val="continue"/>
            <w:tcBorders>
              <w:top w:val="nil"/>
              <w:bottom w:val="nil"/>
            </w:tcBorders>
          </w:tcPr>
          <w:p w14:paraId="069B7C95">
            <w:pPr>
              <w:jc w:val="center"/>
              <w:rPr>
                <w:color w:val="auto"/>
              </w:rPr>
            </w:pPr>
          </w:p>
        </w:tc>
        <w:tc>
          <w:tcPr>
            <w:tcW w:w="7710" w:type="dxa"/>
            <w:gridSpan w:val="3"/>
          </w:tcPr>
          <w:p w14:paraId="7BF45FFA">
            <w:pPr>
              <w:spacing w:before="38" w:line="227" w:lineRule="auto"/>
              <w:ind w:left="83" w:right="82" w:firstLine="8"/>
              <w:rPr>
                <w:rFonts w:ascii="仿宋" w:hAnsi="仿宋" w:eastAsia="仿宋" w:cs="仿宋"/>
                <w:color w:val="auto"/>
                <w:sz w:val="24"/>
                <w:szCs w:val="24"/>
              </w:rPr>
            </w:pPr>
            <w:r>
              <w:rPr>
                <w:rFonts w:ascii="仿宋" w:hAnsi="仿宋" w:eastAsia="仿宋" w:cs="仿宋"/>
                <w:color w:val="auto"/>
                <w:spacing w:val="13"/>
                <w:sz w:val="24"/>
                <w:szCs w:val="24"/>
              </w:rPr>
              <w:t>学校对线上线下混合式教学有合理的工作量计算机制、教学</w:t>
            </w:r>
            <w:r>
              <w:rPr>
                <w:rFonts w:ascii="仿宋" w:hAnsi="仿宋" w:eastAsia="仿宋" w:cs="仿宋"/>
                <w:color w:val="auto"/>
                <w:spacing w:val="10"/>
                <w:sz w:val="24"/>
                <w:szCs w:val="24"/>
              </w:rPr>
              <w:t>管</w:t>
            </w:r>
            <w:r>
              <w:rPr>
                <w:rFonts w:ascii="仿宋" w:hAnsi="仿宋" w:eastAsia="仿宋" w:cs="仿宋"/>
                <w:color w:val="auto"/>
                <w:spacing w:val="13"/>
                <w:sz w:val="24"/>
                <w:szCs w:val="24"/>
              </w:rPr>
              <w:t>理</w:t>
            </w:r>
            <w:r>
              <w:rPr>
                <w:rFonts w:ascii="仿宋" w:hAnsi="仿宋" w:eastAsia="仿宋" w:cs="仿宋"/>
                <w:color w:val="auto"/>
                <w:spacing w:val="7"/>
                <w:sz w:val="24"/>
                <w:szCs w:val="24"/>
              </w:rPr>
              <w:t>与质量监控机制等配套支持，并不断完善。</w:t>
            </w:r>
          </w:p>
        </w:tc>
      </w:tr>
      <w:tr w14:paraId="344D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444" w:type="dxa"/>
            <w:gridSpan w:val="4"/>
            <w:vMerge w:val="continue"/>
            <w:tcBorders>
              <w:top w:val="nil"/>
            </w:tcBorders>
          </w:tcPr>
          <w:p w14:paraId="487865DA">
            <w:pPr>
              <w:jc w:val="center"/>
              <w:rPr>
                <w:color w:val="auto"/>
              </w:rPr>
            </w:pPr>
          </w:p>
        </w:tc>
        <w:tc>
          <w:tcPr>
            <w:tcW w:w="37" w:type="dxa"/>
            <w:tcBorders>
              <w:right w:val="single" w:color="FFFFFF" w:sz="2" w:space="0"/>
            </w:tcBorders>
          </w:tcPr>
          <w:p w14:paraId="0608D855">
            <w:pPr>
              <w:rPr>
                <w:color w:val="auto"/>
              </w:rPr>
            </w:pPr>
          </w:p>
        </w:tc>
        <w:tc>
          <w:tcPr>
            <w:tcW w:w="7433" w:type="dxa"/>
            <w:tcBorders>
              <w:left w:val="single" w:color="FFFFFF" w:sz="8" w:space="0"/>
              <w:right w:val="single" w:color="FFFFFF" w:sz="8" w:space="0"/>
            </w:tcBorders>
          </w:tcPr>
          <w:p w14:paraId="64E05E85">
            <w:pPr>
              <w:spacing w:before="37" w:line="242" w:lineRule="auto"/>
              <w:ind w:left="37"/>
              <w:rPr>
                <w:rFonts w:ascii="仿宋" w:hAnsi="仿宋" w:eastAsia="仿宋" w:cs="仿宋"/>
                <w:color w:val="auto"/>
                <w:sz w:val="23"/>
                <w:szCs w:val="23"/>
              </w:rPr>
            </w:pPr>
            <w:r>
              <w:rPr>
                <w:rFonts w:ascii="仿宋" w:hAnsi="仿宋" w:eastAsia="仿宋" w:cs="仿宋"/>
                <w:color w:val="auto"/>
                <w:spacing w:val="21"/>
                <w:sz w:val="24"/>
                <w:szCs w:val="24"/>
              </w:rPr>
              <w:t>较</w:t>
            </w:r>
            <w:r>
              <w:rPr>
                <w:rFonts w:ascii="仿宋" w:hAnsi="仿宋" w:eastAsia="仿宋" w:cs="仿宋"/>
                <w:color w:val="auto"/>
                <w:spacing w:val="15"/>
                <w:sz w:val="24"/>
                <w:szCs w:val="24"/>
              </w:rPr>
              <w:t>好地解决了传统教学中的短板问题。在树立课程建设新理念、</w:t>
            </w:r>
            <w:r>
              <w:rPr>
                <w:rFonts w:ascii="仿宋" w:hAnsi="仿宋" w:eastAsia="仿宋" w:cs="仿宋"/>
                <w:color w:val="auto"/>
                <w:sz w:val="24"/>
                <w:szCs w:val="24"/>
              </w:rPr>
              <w:t xml:space="preserve"> </w:t>
            </w:r>
            <w:r>
              <w:rPr>
                <w:rFonts w:ascii="仿宋" w:hAnsi="仿宋" w:eastAsia="仿宋" w:cs="仿宋"/>
                <w:color w:val="auto"/>
                <w:spacing w:val="28"/>
                <w:sz w:val="24"/>
                <w:szCs w:val="24"/>
              </w:rPr>
              <w:t>推</w:t>
            </w:r>
            <w:r>
              <w:rPr>
                <w:rFonts w:ascii="仿宋" w:hAnsi="仿宋" w:eastAsia="仿宋" w:cs="仿宋"/>
                <w:color w:val="auto"/>
                <w:spacing w:val="21"/>
                <w:sz w:val="24"/>
                <w:szCs w:val="24"/>
              </w:rPr>
              <w:t>进相应类型高校课程改革创新、提升教学效果方面显示了明</w:t>
            </w:r>
            <w:r>
              <w:rPr>
                <w:rFonts w:ascii="仿宋" w:hAnsi="仿宋" w:eastAsia="仿宋" w:cs="仿宋"/>
                <w:color w:val="auto"/>
                <w:spacing w:val="16"/>
                <w:sz w:val="24"/>
                <w:szCs w:val="24"/>
              </w:rPr>
              <w:t>显</w:t>
            </w:r>
            <w:r>
              <w:rPr>
                <w:rFonts w:ascii="仿宋" w:hAnsi="仿宋" w:eastAsia="仿宋" w:cs="仿宋"/>
                <w:color w:val="auto"/>
                <w:spacing w:val="12"/>
                <w:sz w:val="24"/>
                <w:szCs w:val="24"/>
              </w:rPr>
              <w:t>优势，具有推广价值。</w:t>
            </w:r>
          </w:p>
        </w:tc>
        <w:tc>
          <w:tcPr>
            <w:tcW w:w="240" w:type="dxa"/>
            <w:tcBorders>
              <w:left w:val="single" w:color="FFFFFF" w:sz="8" w:space="0"/>
            </w:tcBorders>
          </w:tcPr>
          <w:p w14:paraId="2A0893B0">
            <w:pPr>
              <w:rPr>
                <w:color w:val="auto"/>
              </w:rPr>
            </w:pPr>
          </w:p>
        </w:tc>
      </w:tr>
    </w:tbl>
    <w:p w14:paraId="41E1A373">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cs="Times New Roman"/>
          <w:b/>
          <w:bCs/>
          <w:color w:val="auto"/>
          <w:kern w:val="2"/>
          <w:sz w:val="28"/>
          <w:szCs w:val="28"/>
          <w:lang w:val="en-US" w:eastAsia="zh-CN" w:bidi="ar-SA"/>
        </w:rPr>
      </w:pPr>
    </w:p>
    <w:p w14:paraId="13459D56">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cs="Times New Roman"/>
          <w:b/>
          <w:bCs/>
          <w:color w:val="auto"/>
          <w:kern w:val="2"/>
          <w:sz w:val="28"/>
          <w:szCs w:val="28"/>
          <w:lang w:val="en-US" w:eastAsia="zh-CN" w:bidi="ar-SA"/>
        </w:rPr>
      </w:pPr>
      <w:r>
        <w:rPr>
          <w:rFonts w:hint="eastAsia" w:ascii="宋体" w:hAnsi="宋体" w:cs="Times New Roman"/>
          <w:b/>
          <w:bCs/>
          <w:color w:val="auto"/>
          <w:kern w:val="2"/>
          <w:sz w:val="28"/>
          <w:szCs w:val="28"/>
          <w:lang w:val="en-US" w:eastAsia="zh-CN" w:bidi="ar-SA"/>
        </w:rPr>
        <w:t>2.3社会实践课程</w:t>
      </w:r>
      <w:bookmarkEnd w:id="41"/>
      <w:bookmarkEnd w:id="42"/>
      <w:bookmarkEnd w:id="43"/>
      <w:bookmarkEnd w:id="44"/>
      <w:bookmarkEnd w:id="45"/>
    </w:p>
    <w:p w14:paraId="147F0DD9">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建设目标：</w:t>
      </w:r>
      <w:r>
        <w:rPr>
          <w:rFonts w:hint="eastAsia"/>
          <w:color w:val="auto"/>
          <w:sz w:val="24"/>
          <w:szCs w:val="24"/>
          <w:lang w:val="en-US" w:eastAsia="zh-CN"/>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w:t>
      </w:r>
    </w:p>
    <w:p w14:paraId="70989F8F">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7D4FBD9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1.应为纳入人才培养方案的非实习、实训课程，配备理论指导教师，具有稳定的实践基地，学生70%以上学时深入基层，保证课程规范化和可持续发展；</w:t>
      </w:r>
    </w:p>
    <w:p w14:paraId="64AD4F3A">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2.课程负责人须为具有讲师及以上职称或博士学位的教师，团队主要成员须为教务系统显示授课教师。</w:t>
      </w:r>
    </w:p>
    <w:p w14:paraId="32B9F14A">
      <w:pPr>
        <w:pageBreakBefore w:val="0"/>
        <w:widowControl/>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23B4C653">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验收标准：</w:t>
      </w:r>
      <w:r>
        <w:rPr>
          <w:rFonts w:hint="eastAsia"/>
          <w:color w:val="auto"/>
          <w:sz w:val="24"/>
          <w:szCs w:val="24"/>
          <w:lang w:val="en-US" w:eastAsia="zh-CN"/>
        </w:rPr>
        <w:t>通过课程建设，在项目结项时需达到省级一流课程标准（见表3），或达到国家级一流课程标准。</w:t>
      </w:r>
    </w:p>
    <w:p w14:paraId="118C556E">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jc w:val="center"/>
        <w:textAlignment w:val="auto"/>
        <w:rPr>
          <w:rFonts w:hint="eastAsia" w:eastAsia="楷体"/>
          <w:color w:val="auto"/>
          <w:sz w:val="24"/>
          <w:szCs w:val="24"/>
          <w:lang w:val="en-US" w:eastAsia="zh-CN"/>
        </w:rPr>
      </w:pPr>
      <w:r>
        <w:rPr>
          <w:rFonts w:hint="eastAsia" w:eastAsia="楷体"/>
          <w:color w:val="auto"/>
          <w:sz w:val="24"/>
          <w:szCs w:val="24"/>
          <w:lang w:val="en-US" w:eastAsia="zh-CN"/>
        </w:rPr>
        <w:t>表3：校级社会实践课程验收标准</w:t>
      </w:r>
    </w:p>
    <w:tbl>
      <w:tblPr>
        <w:tblStyle w:val="11"/>
        <w:tblW w:w="90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
        <w:gridCol w:w="1628"/>
        <w:gridCol w:w="240"/>
        <w:gridCol w:w="90"/>
        <w:gridCol w:w="6765"/>
        <w:gridCol w:w="240"/>
      </w:tblGrid>
      <w:tr w14:paraId="759E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999" w:type="dxa"/>
            <w:gridSpan w:val="3"/>
          </w:tcPr>
          <w:p w14:paraId="29589E38">
            <w:pPr>
              <w:spacing w:before="4" w:line="84" w:lineRule="exact"/>
              <w:ind w:firstLine="4"/>
              <w:textAlignment w:val="center"/>
              <w:rPr>
                <w:color w:val="auto"/>
              </w:rPr>
            </w:pPr>
            <w:r>
              <w:rPr>
                <w:color w:val="auto"/>
              </w:rPr>
              <mc:AlternateContent>
                <mc:Choice Requires="wps">
                  <w:drawing>
                    <wp:inline distT="0" distB="0" distL="114300" distR="114300">
                      <wp:extent cx="1161415" cy="53975"/>
                      <wp:effectExtent l="0" t="0" r="635" b="3175"/>
                      <wp:docPr id="8" name="任意多边形 8"/>
                      <wp:cNvGraphicFramePr/>
                      <a:graphic xmlns:a="http://schemas.openxmlformats.org/drawingml/2006/main">
                        <a:graphicData uri="http://schemas.microsoft.com/office/word/2010/wordprocessingShape">
                          <wps:wsp>
                            <wps:cNvSpPr/>
                            <wps:spPr>
                              <a:xfrm>
                                <a:off x="0" y="0"/>
                                <a:ext cx="1161415" cy="53975"/>
                              </a:xfrm>
                              <a:custGeom>
                                <a:avLst/>
                                <a:gdLst/>
                                <a:ahLst/>
                                <a:cxnLst/>
                                <a:pathLst>
                                  <a:path w="1828" h="85">
                                    <a:moveTo>
                                      <a:pt x="0" y="84"/>
                                    </a:moveTo>
                                    <a:lnTo>
                                      <a:pt x="1828" y="84"/>
                                    </a:lnTo>
                                    <a:lnTo>
                                      <a:pt x="1828" y="0"/>
                                    </a:lnTo>
                                    <a:lnTo>
                                      <a:pt x="0" y="0"/>
                                    </a:lnTo>
                                    <a:lnTo>
                                      <a:pt x="0" y="84"/>
                                    </a:lnTo>
                                    <a:close/>
                                  </a:path>
                                </a:pathLst>
                              </a:custGeom>
                              <a:solidFill>
                                <a:srgbClr val="FFFFFF"/>
                              </a:solidFill>
                              <a:ln>
                                <a:noFill/>
                              </a:ln>
                            </wps:spPr>
                            <wps:bodyPr upright="1"/>
                          </wps:wsp>
                        </a:graphicData>
                      </a:graphic>
                    </wp:inline>
                  </w:drawing>
                </mc:Choice>
                <mc:Fallback>
                  <w:pict>
                    <v:shape id="_x0000_s1026" o:spid="_x0000_s1026" o:spt="100" style="height:4.25pt;width:91.45pt;" fillcolor="#FFFFFF" filled="t" stroked="f" coordsize="1828,85" o:gfxdata="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1IftNQAAAADAQAADwAAAAAAAAAB&#10;ACAAAAAiAAAAZHJzL2Rvd25yZXYueG1sUEsBAhQAFAAAAAgAh07iQE4COHIUAgAAfQQAAA4AAAAA&#10;AAAAAQAgAAAAIwEAAGRycy9lMm9Eb2MueG1sUEsFBgAAAAAGAAYAWQEAAKkFAAAAAA==&#10;" path="m0,84l1828,84,1828,0,0,0,0,84xe">
                      <v:fill on="t" focussize="0,0"/>
                      <v:stroke on="f"/>
                      <v:imagedata o:title=""/>
                      <o:lock v:ext="edit" aspectratio="f"/>
                      <w10:wrap type="none"/>
                      <w10:anchorlock/>
                    </v:shape>
                  </w:pict>
                </mc:Fallback>
              </mc:AlternateContent>
            </w:r>
          </w:p>
          <w:p w14:paraId="5FC5A4DE">
            <w:pPr>
              <w:spacing w:before="113" w:line="218" w:lineRule="auto"/>
              <w:ind w:left="682"/>
              <w:rPr>
                <w:rFonts w:ascii="仿宋" w:hAnsi="仿宋" w:eastAsia="仿宋" w:cs="仿宋"/>
                <w:color w:val="auto"/>
                <w:sz w:val="24"/>
                <w:szCs w:val="24"/>
              </w:rPr>
            </w:pPr>
            <w:r>
              <w:rPr>
                <w:rFonts w:ascii="仿宋" w:hAnsi="仿宋" w:eastAsia="仿宋" w:cs="仿宋"/>
                <w:color w:val="auto"/>
                <w:spacing w:val="-1"/>
                <w:sz w:val="24"/>
                <w:szCs w:val="24"/>
                <w14:textOutline w14:w="4356" w14:cap="flat" w14:cmpd="sng" w14:algn="ctr">
                  <w14:solidFill>
                    <w14:srgbClr w14:val="000000"/>
                  </w14:solidFill>
                  <w14:prstDash w14:val="solid"/>
                  <w14:miter w14:val="0"/>
                </w14:textOutline>
              </w:rPr>
              <w:t>指标</w:t>
            </w:r>
          </w:p>
          <w:p w14:paraId="06B05D36">
            <w:pPr>
              <w:spacing w:before="1" w:line="84" w:lineRule="exact"/>
              <w:ind w:firstLine="4"/>
              <w:textAlignment w:val="center"/>
              <w:rPr>
                <w:color w:val="auto"/>
              </w:rPr>
            </w:pPr>
            <w:r>
              <w:rPr>
                <w:color w:val="auto"/>
              </w:rPr>
              <mc:AlternateContent>
                <mc:Choice Requires="wps">
                  <w:drawing>
                    <wp:inline distT="0" distB="0" distL="114300" distR="114300">
                      <wp:extent cx="1161415" cy="53975"/>
                      <wp:effectExtent l="0" t="0" r="635" b="3175"/>
                      <wp:docPr id="11" name="任意多边形 11"/>
                      <wp:cNvGraphicFramePr/>
                      <a:graphic xmlns:a="http://schemas.openxmlformats.org/drawingml/2006/main">
                        <a:graphicData uri="http://schemas.microsoft.com/office/word/2010/wordprocessingShape">
                          <wps:wsp>
                            <wps:cNvSpPr/>
                            <wps:spPr>
                              <a:xfrm>
                                <a:off x="0" y="0"/>
                                <a:ext cx="1161415" cy="53975"/>
                              </a:xfrm>
                              <a:custGeom>
                                <a:avLst/>
                                <a:gdLst/>
                                <a:ahLst/>
                                <a:cxnLst/>
                                <a:pathLst>
                                  <a:path w="1828" h="85">
                                    <a:moveTo>
                                      <a:pt x="0" y="84"/>
                                    </a:moveTo>
                                    <a:lnTo>
                                      <a:pt x="1828" y="84"/>
                                    </a:lnTo>
                                    <a:lnTo>
                                      <a:pt x="1828" y="0"/>
                                    </a:lnTo>
                                    <a:lnTo>
                                      <a:pt x="0" y="0"/>
                                    </a:lnTo>
                                    <a:lnTo>
                                      <a:pt x="0" y="84"/>
                                    </a:lnTo>
                                    <a:close/>
                                  </a:path>
                                </a:pathLst>
                              </a:custGeom>
                              <a:solidFill>
                                <a:srgbClr val="FFFFFF"/>
                              </a:solidFill>
                              <a:ln>
                                <a:noFill/>
                              </a:ln>
                            </wps:spPr>
                            <wps:bodyPr upright="1"/>
                          </wps:wsp>
                        </a:graphicData>
                      </a:graphic>
                    </wp:inline>
                  </w:drawing>
                </mc:Choice>
                <mc:Fallback>
                  <w:pict>
                    <v:shape id="_x0000_s1026" o:spid="_x0000_s1026" o:spt="100" style="height:4.25pt;width:91.45pt;" fillcolor="#FFFFFF" filled="t" stroked="f" coordsize="1828,85" o:gfxdata="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Uh+01AAAAAMBAAAPAAAAAAAA&#10;AAEAIAAAACIAAABkcnMvZG93bnJldi54bWxQSwECFAAUAAAACACHTuJAgJidoRYCAAB/BAAADgAA&#10;AAAAAAABACAAAAAjAQAAZHJzL2Uyb0RvYy54bWxQSwUGAAAAAAYABgBZAQAAqwUAAAAA&#10;" path="m0,84l1828,84,1828,0,0,0,0,84xe">
                      <v:fill on="t" focussize="0,0"/>
                      <v:stroke on="f"/>
                      <v:imagedata o:title=""/>
                      <o:lock v:ext="edit" aspectratio="f"/>
                      <w10:wrap type="none"/>
                      <w10:anchorlock/>
                    </v:shape>
                  </w:pict>
                </mc:Fallback>
              </mc:AlternateContent>
            </w:r>
          </w:p>
        </w:tc>
        <w:tc>
          <w:tcPr>
            <w:tcW w:w="7095" w:type="dxa"/>
            <w:gridSpan w:val="3"/>
          </w:tcPr>
          <w:p w14:paraId="4F21C3C8">
            <w:pPr>
              <w:spacing w:before="4" w:line="84" w:lineRule="exact"/>
              <w:textAlignment w:val="center"/>
              <w:rPr>
                <w:color w:val="auto"/>
              </w:rPr>
            </w:pPr>
            <w:r>
              <w:rPr>
                <w:color w:val="auto"/>
              </w:rPr>
              <mc:AlternateContent>
                <mc:Choice Requires="wps">
                  <w:drawing>
                    <wp:inline distT="0" distB="0" distL="114300" distR="114300">
                      <wp:extent cx="4190365" cy="53975"/>
                      <wp:effectExtent l="0" t="0" r="635" b="3175"/>
                      <wp:docPr id="9" name="任意多边形 9"/>
                      <wp:cNvGraphicFramePr/>
                      <a:graphic xmlns:a="http://schemas.openxmlformats.org/drawingml/2006/main">
                        <a:graphicData uri="http://schemas.microsoft.com/office/word/2010/wordprocessingShape">
                          <wps:wsp>
                            <wps:cNvSpPr/>
                            <wps:spPr>
                              <a:xfrm>
                                <a:off x="0" y="0"/>
                                <a:ext cx="4190365" cy="53975"/>
                              </a:xfrm>
                              <a:custGeom>
                                <a:avLst/>
                                <a:gdLst/>
                                <a:ahLst/>
                                <a:cxnLst/>
                                <a:pathLst>
                                  <a:path w="6599" h="85">
                                    <a:moveTo>
                                      <a:pt x="0" y="84"/>
                                    </a:moveTo>
                                    <a:lnTo>
                                      <a:pt x="6598" y="84"/>
                                    </a:lnTo>
                                    <a:lnTo>
                                      <a:pt x="6598" y="0"/>
                                    </a:lnTo>
                                    <a:lnTo>
                                      <a:pt x="0" y="0"/>
                                    </a:lnTo>
                                    <a:lnTo>
                                      <a:pt x="0" y="84"/>
                                    </a:lnTo>
                                    <a:close/>
                                  </a:path>
                                </a:pathLst>
                              </a:custGeom>
                              <a:solidFill>
                                <a:srgbClr val="FFFFFF"/>
                              </a:solidFill>
                              <a:ln>
                                <a:noFill/>
                              </a:ln>
                            </wps:spPr>
                            <wps:bodyPr upright="1"/>
                          </wps:wsp>
                        </a:graphicData>
                      </a:graphic>
                    </wp:inline>
                  </w:drawing>
                </mc:Choice>
                <mc:Fallback>
                  <w:pict>
                    <v:shape id="_x0000_s1026" o:spid="_x0000_s1026" o:spt="100" style="height:4.25pt;width:329.95pt;" fillcolor="#FFFFFF" filled="t" stroked="f" coordsize="6599,85" o:gfxdata="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XeQU7TAAAAAwEAAA8AAAAA&#10;AAAAAQAgAAAAIgAAAGRycy9kb3ducmV2LnhtbFBLAQIUABQAAAAIAIdO4kAr1gNhGQIAAH0EAAAO&#10;AAAAAAAAAAEAIAAAACIBAABkcnMvZTJvRG9jLnhtbFBLBQYAAAAABgAGAFkBAACtBQAAAAA=&#10;" path="m0,84l6598,84,6598,0,0,0,0,84xe">
                      <v:fill on="t" focussize="0,0"/>
                      <v:stroke on="f"/>
                      <v:imagedata o:title=""/>
                      <o:lock v:ext="edit" aspectratio="f"/>
                      <w10:wrap type="none"/>
                      <w10:anchorlock/>
                    </v:shape>
                  </w:pict>
                </mc:Fallback>
              </mc:AlternateContent>
            </w:r>
          </w:p>
          <w:p w14:paraId="3D00B140">
            <w:pPr>
              <w:spacing w:before="112" w:line="219" w:lineRule="auto"/>
              <w:ind w:left="2559"/>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观</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测点及描述</w:t>
            </w:r>
          </w:p>
          <w:p w14:paraId="110BCF6A">
            <w:pPr>
              <w:spacing w:line="84" w:lineRule="exact"/>
              <w:textAlignment w:val="center"/>
              <w:rPr>
                <w:color w:val="auto"/>
              </w:rPr>
            </w:pPr>
            <w:r>
              <w:rPr>
                <w:color w:val="auto"/>
              </w:rPr>
              <mc:AlternateContent>
                <mc:Choice Requires="wps">
                  <w:drawing>
                    <wp:inline distT="0" distB="0" distL="114300" distR="114300">
                      <wp:extent cx="4190365" cy="53975"/>
                      <wp:effectExtent l="0" t="0" r="635" b="3175"/>
                      <wp:docPr id="4" name="任意多边形 4"/>
                      <wp:cNvGraphicFramePr/>
                      <a:graphic xmlns:a="http://schemas.openxmlformats.org/drawingml/2006/main">
                        <a:graphicData uri="http://schemas.microsoft.com/office/word/2010/wordprocessingShape">
                          <wps:wsp>
                            <wps:cNvSpPr/>
                            <wps:spPr>
                              <a:xfrm>
                                <a:off x="0" y="0"/>
                                <a:ext cx="4190365" cy="53975"/>
                              </a:xfrm>
                              <a:custGeom>
                                <a:avLst/>
                                <a:gdLst/>
                                <a:ahLst/>
                                <a:cxnLst/>
                                <a:pathLst>
                                  <a:path w="6599" h="85">
                                    <a:moveTo>
                                      <a:pt x="0" y="84"/>
                                    </a:moveTo>
                                    <a:lnTo>
                                      <a:pt x="6598" y="84"/>
                                    </a:lnTo>
                                    <a:lnTo>
                                      <a:pt x="6598" y="0"/>
                                    </a:lnTo>
                                    <a:lnTo>
                                      <a:pt x="0" y="0"/>
                                    </a:lnTo>
                                    <a:lnTo>
                                      <a:pt x="0" y="84"/>
                                    </a:lnTo>
                                    <a:close/>
                                  </a:path>
                                </a:pathLst>
                              </a:custGeom>
                              <a:solidFill>
                                <a:srgbClr val="FFFFFF"/>
                              </a:solidFill>
                              <a:ln>
                                <a:noFill/>
                              </a:ln>
                            </wps:spPr>
                            <wps:bodyPr upright="1"/>
                          </wps:wsp>
                        </a:graphicData>
                      </a:graphic>
                    </wp:inline>
                  </w:drawing>
                </mc:Choice>
                <mc:Fallback>
                  <w:pict>
                    <v:shape id="_x0000_s1026" o:spid="_x0000_s1026" o:spt="100" style="height:4.25pt;width:329.95pt;" fillcolor="#FFFFFF" filled="t" stroked="f" coordsize="6599,85" o:gfxdata="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3kFO0wAAAAMBAAAPAAAA&#10;AAAAAAEAIAAAACIAAABkcnMvZG93bnJldi54bWxQSwECFAAUAAAACACHTuJAWb/ZKRoCAAB9BAAA&#10;DgAAAAAAAAABACAAAAAiAQAAZHJzL2Uyb0RvYy54bWxQSwUGAAAAAAYABgBZAQAArgUAAAAA&#10;" path="m0,84l6598,84,6598,0,0,0,0,84xe">
                      <v:fill on="t" focussize="0,0"/>
                      <v:stroke on="f"/>
                      <v:imagedata o:title=""/>
                      <o:lock v:ext="edit" aspectratio="f"/>
                      <w10:wrap type="none"/>
                      <w10:anchorlock/>
                    </v:shape>
                  </w:pict>
                </mc:Fallback>
              </mc:AlternateContent>
            </w:r>
          </w:p>
        </w:tc>
      </w:tr>
      <w:tr w14:paraId="00E1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1" w:type="dxa"/>
            <w:tcBorders>
              <w:right w:val="nil"/>
            </w:tcBorders>
          </w:tcPr>
          <w:p w14:paraId="61200C65">
            <w:pPr>
              <w:rPr>
                <w:color w:val="auto"/>
              </w:rPr>
            </w:pPr>
          </w:p>
        </w:tc>
        <w:tc>
          <w:tcPr>
            <w:tcW w:w="1628" w:type="dxa"/>
            <w:tcBorders>
              <w:left w:val="nil"/>
              <w:right w:val="nil"/>
            </w:tcBorders>
            <w:vAlign w:val="top"/>
          </w:tcPr>
          <w:p w14:paraId="5F056AE4">
            <w:pPr>
              <w:spacing w:before="314" w:line="316" w:lineRule="auto"/>
              <w:ind w:left="69" w:right="56" w:hanging="16"/>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程目标的高阶</w:t>
            </w: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性与可行性</w:t>
            </w:r>
          </w:p>
        </w:tc>
        <w:tc>
          <w:tcPr>
            <w:tcW w:w="240" w:type="dxa"/>
            <w:tcBorders>
              <w:left w:val="nil"/>
            </w:tcBorders>
            <w:vAlign w:val="top"/>
          </w:tcPr>
          <w:p w14:paraId="4CD4AF35">
            <w:pPr>
              <w:jc w:val="center"/>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rightMargin">
                        <wp:posOffset>-44450</wp:posOffset>
                      </wp:positionH>
                      <wp:positionV relativeFrom="topMargin">
                        <wp:posOffset>127635</wp:posOffset>
                      </wp:positionV>
                      <wp:extent cx="41275" cy="508000"/>
                      <wp:effectExtent l="0" t="0" r="15875" b="6350"/>
                      <wp:wrapNone/>
                      <wp:docPr id="12" name="矩形 12"/>
                      <wp:cNvGraphicFramePr/>
                      <a:graphic xmlns:a="http://schemas.openxmlformats.org/drawingml/2006/main">
                        <a:graphicData uri="http://schemas.microsoft.com/office/word/2010/wordprocessingShape">
                          <wps:wsp>
                            <wps:cNvSpPr/>
                            <wps:spPr>
                              <a:xfrm>
                                <a:off x="0" y="0"/>
                                <a:ext cx="41275" cy="508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8.4pt;margin-top:10.3pt;height:40pt;width:3.25pt;mso-position-horizontal-relative:page;mso-position-vertical-relative:page;z-index:251662336;mso-width-relative:page;mso-height-relative:page;" fillcolor="#FFFFFF" filled="t" stroked="f" coordsize="21600,21600" o:gfxdata="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P9sdQA&#10;AAAHAQAADwAAAAAAAAABACAAAAAiAAAAZHJzL2Rvd25yZXYueG1sUEsBAhQAFAAAAAgAh07iQCN9&#10;YtGxAQAAXwMAAA4AAAAAAAAAAQAgAAAAIwEAAGRycy9lMm9Eb2MueG1sUEsFBgAAAAAGAAYAWQEA&#10;AEYFAAAAAA==&#10;">
                      <v:fill on="t" focussize="0,0"/>
                      <v:stroke on="f"/>
                      <v:imagedata o:title=""/>
                      <o:lock v:ext="edit" aspectratio="f"/>
                    </v:rect>
                  </w:pict>
                </mc:Fallback>
              </mc:AlternateContent>
            </w:r>
          </w:p>
        </w:tc>
        <w:tc>
          <w:tcPr>
            <w:tcW w:w="90" w:type="dxa"/>
            <w:tcBorders>
              <w:right w:val="single" w:color="FFFFFF" w:sz="2" w:space="0"/>
            </w:tcBorders>
          </w:tcPr>
          <w:p w14:paraId="3154A6F5">
            <w:pPr>
              <w:rPr>
                <w:color w:val="auto"/>
              </w:rPr>
            </w:pPr>
          </w:p>
        </w:tc>
        <w:tc>
          <w:tcPr>
            <w:tcW w:w="6765" w:type="dxa"/>
            <w:tcBorders>
              <w:left w:val="single" w:color="FFFFFF" w:sz="8" w:space="0"/>
              <w:right w:val="single" w:color="FFFFFF" w:sz="8" w:space="0"/>
            </w:tcBorders>
          </w:tcPr>
          <w:p w14:paraId="36718587">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符合学校办学定位和人才培养目标，坚持知识、能力、素质有机融合。目标描述准确具体，符合培养规律，达成路径清晰。</w:t>
            </w:r>
          </w:p>
        </w:tc>
        <w:tc>
          <w:tcPr>
            <w:tcW w:w="240" w:type="dxa"/>
            <w:tcBorders>
              <w:left w:val="single" w:color="FFFFFF" w:sz="8" w:space="0"/>
            </w:tcBorders>
          </w:tcPr>
          <w:p w14:paraId="6ACD4998">
            <w:pPr>
              <w:spacing w:before="113" w:line="308" w:lineRule="auto"/>
              <w:ind w:left="35" w:right="33" w:firstLine="8"/>
              <w:rPr>
                <w:rFonts w:ascii="仿宋" w:hAnsi="仿宋" w:eastAsia="仿宋" w:cs="仿宋"/>
                <w:color w:val="auto"/>
                <w:spacing w:val="11"/>
                <w:sz w:val="24"/>
                <w:szCs w:val="24"/>
              </w:rPr>
            </w:pPr>
          </w:p>
        </w:tc>
      </w:tr>
      <w:tr w14:paraId="1F14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31" w:type="dxa"/>
            <w:tcBorders>
              <w:right w:val="nil"/>
            </w:tcBorders>
            <w:shd w:val="clear" w:color="auto" w:fill="FFFFFF"/>
          </w:tcPr>
          <w:p w14:paraId="3EB70374">
            <w:pPr>
              <w:rPr>
                <w:color w:val="auto"/>
              </w:rPr>
            </w:pPr>
          </w:p>
        </w:tc>
        <w:tc>
          <w:tcPr>
            <w:tcW w:w="1628" w:type="dxa"/>
            <w:tcBorders>
              <w:left w:val="nil"/>
              <w:right w:val="nil"/>
            </w:tcBorders>
            <w:vAlign w:val="center"/>
          </w:tcPr>
          <w:p w14:paraId="38250DAA">
            <w:pPr>
              <w:spacing w:before="113" w:line="401" w:lineRule="exact"/>
              <w:ind w:left="52"/>
              <w:jc w:val="center"/>
              <w:rPr>
                <w:rFonts w:ascii="仿宋" w:hAnsi="仿宋" w:eastAsia="仿宋" w:cs="仿宋"/>
                <w:color w:val="auto"/>
                <w:sz w:val="24"/>
                <w:szCs w:val="24"/>
              </w:rPr>
            </w:pPr>
            <w:r>
              <w:rPr>
                <w:rFonts w:ascii="仿宋" w:hAnsi="仿宋" w:eastAsia="仿宋" w:cs="仿宋"/>
                <w:color w:val="auto"/>
                <w:spacing w:val="8"/>
                <w:position w:val="12"/>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6"/>
                <w:position w:val="12"/>
                <w:sz w:val="24"/>
                <w:szCs w:val="24"/>
                <w14:textOutline w14:w="4356" w14:cap="flat" w14:cmpd="sng" w14:algn="ctr">
                  <w14:solidFill>
                    <w14:srgbClr w14:val="000000"/>
                  </w14:solidFill>
                  <w14:prstDash w14:val="solid"/>
                  <w14:miter w14:val="0"/>
                </w14:textOutline>
              </w:rPr>
              <w:t>学理念的先</w:t>
            </w:r>
          </w:p>
          <w:p w14:paraId="2D9A3C2B">
            <w:pPr>
              <w:spacing w:before="1" w:line="215" w:lineRule="auto"/>
              <w:jc w:val="center"/>
              <w:rPr>
                <w:rFonts w:ascii="仿宋" w:hAnsi="仿宋" w:eastAsia="仿宋" w:cs="仿宋"/>
                <w:color w:val="auto"/>
                <w:sz w:val="24"/>
                <w:szCs w:val="24"/>
              </w:rPr>
            </w:pP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进</w:t>
            </w:r>
            <w:r>
              <w:rPr>
                <w:rFonts w:ascii="仿宋" w:hAnsi="仿宋" w:eastAsia="仿宋" w:cs="仿宋"/>
                <w:color w:val="auto"/>
                <w:spacing w:val="-1"/>
                <w:sz w:val="24"/>
                <w:szCs w:val="24"/>
                <w14:textOutline w14:w="4356" w14:cap="flat" w14:cmpd="sng" w14:algn="ctr">
                  <w14:solidFill>
                    <w14:srgbClr w14:val="000000"/>
                  </w14:solidFill>
                  <w14:prstDash w14:val="solid"/>
                  <w14:miter w14:val="0"/>
                </w14:textOutline>
              </w:rPr>
              <w:t>性</w:t>
            </w:r>
          </w:p>
        </w:tc>
        <w:tc>
          <w:tcPr>
            <w:tcW w:w="240" w:type="dxa"/>
            <w:tcBorders>
              <w:left w:val="nil"/>
            </w:tcBorders>
            <w:shd w:val="clear" w:color="auto" w:fill="FFFFFF"/>
          </w:tcPr>
          <w:p w14:paraId="2BBE5F63">
            <w:pPr>
              <w:rPr>
                <w:color w:val="auto"/>
              </w:rPr>
            </w:pPr>
          </w:p>
        </w:tc>
        <w:tc>
          <w:tcPr>
            <w:tcW w:w="90" w:type="dxa"/>
            <w:tcBorders>
              <w:right w:val="single" w:color="FFFFFF" w:sz="2" w:space="0"/>
            </w:tcBorders>
          </w:tcPr>
          <w:p w14:paraId="6F4614E7">
            <w:pPr>
              <w:rPr>
                <w:color w:val="auto"/>
              </w:rPr>
            </w:pPr>
          </w:p>
        </w:tc>
        <w:tc>
          <w:tcPr>
            <w:tcW w:w="6765" w:type="dxa"/>
            <w:tcBorders>
              <w:left w:val="single" w:color="FFFFFF" w:sz="8" w:space="0"/>
              <w:right w:val="single" w:color="FFFFFF" w:sz="8" w:space="0"/>
            </w:tcBorders>
          </w:tcPr>
          <w:p w14:paraId="1E940D79">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坚持立德树人，体现以学生中心发展为中心，致力于开启内在潜力和学习动力，注重学生德智体美劳全面发展。</w:t>
            </w:r>
          </w:p>
        </w:tc>
        <w:tc>
          <w:tcPr>
            <w:tcW w:w="240" w:type="dxa"/>
            <w:tcBorders>
              <w:left w:val="single" w:color="FFFFFF" w:sz="8" w:space="0"/>
            </w:tcBorders>
          </w:tcPr>
          <w:p w14:paraId="0CC53958">
            <w:pPr>
              <w:spacing w:before="113" w:line="308" w:lineRule="auto"/>
              <w:ind w:left="35" w:right="33" w:firstLine="8"/>
              <w:rPr>
                <w:rFonts w:ascii="仿宋" w:hAnsi="仿宋" w:eastAsia="仿宋" w:cs="仿宋"/>
                <w:color w:val="auto"/>
                <w:spacing w:val="11"/>
                <w:sz w:val="24"/>
                <w:szCs w:val="24"/>
              </w:rPr>
            </w:pPr>
          </w:p>
        </w:tc>
      </w:tr>
      <w:tr w14:paraId="3D3A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jc w:val="center"/>
        </w:trPr>
        <w:tc>
          <w:tcPr>
            <w:tcW w:w="131" w:type="dxa"/>
            <w:tcBorders>
              <w:right w:val="nil"/>
            </w:tcBorders>
          </w:tcPr>
          <w:p w14:paraId="3EB73F14">
            <w:pPr>
              <w:jc w:val="center"/>
              <w:rPr>
                <w:color w:val="auto"/>
              </w:rPr>
            </w:pPr>
          </w:p>
        </w:tc>
        <w:tc>
          <w:tcPr>
            <w:tcW w:w="1628" w:type="dxa"/>
            <w:tcBorders>
              <w:left w:val="nil"/>
              <w:right w:val="nil"/>
            </w:tcBorders>
            <w:vAlign w:val="center"/>
          </w:tcPr>
          <w:p w14:paraId="240D37D7">
            <w:pPr>
              <w:spacing w:line="434" w:lineRule="auto"/>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程形态的规</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范</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性</w:t>
            </w:r>
          </w:p>
        </w:tc>
        <w:tc>
          <w:tcPr>
            <w:tcW w:w="240" w:type="dxa"/>
            <w:tcBorders>
              <w:left w:val="nil"/>
            </w:tcBorders>
          </w:tcPr>
          <w:p w14:paraId="5042E470">
            <w:pPr>
              <w:rPr>
                <w:color w:val="auto"/>
              </w:rPr>
            </w:pPr>
            <w:r>
              <w:rPr>
                <w:color w:val="auto"/>
              </w:rPr>
              <mc:AlternateContent>
                <mc:Choice Requires="wps">
                  <w:drawing>
                    <wp:anchor distT="0" distB="0" distL="114300" distR="114300" simplePos="0" relativeHeight="251664384" behindDoc="0" locked="0" layoutInCell="1" allowOverlap="1">
                      <wp:simplePos x="0" y="0"/>
                      <wp:positionH relativeFrom="rightMargin">
                        <wp:posOffset>-44450</wp:posOffset>
                      </wp:positionH>
                      <wp:positionV relativeFrom="topMargin">
                        <wp:posOffset>255270</wp:posOffset>
                      </wp:positionV>
                      <wp:extent cx="41275" cy="508000"/>
                      <wp:effectExtent l="0" t="0" r="15875" b="6350"/>
                      <wp:wrapNone/>
                      <wp:docPr id="5" name="矩形 5"/>
                      <wp:cNvGraphicFramePr/>
                      <a:graphic xmlns:a="http://schemas.openxmlformats.org/drawingml/2006/main">
                        <a:graphicData uri="http://schemas.microsoft.com/office/word/2010/wordprocessingShape">
                          <wps:wsp>
                            <wps:cNvSpPr/>
                            <wps:spPr>
                              <a:xfrm>
                                <a:off x="0" y="0"/>
                                <a:ext cx="41275" cy="508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8.4pt;margin-top:20.35pt;height:40pt;width:3.25pt;mso-position-horizontal-relative:page;mso-position-vertical-relative:page;z-index:251664384;mso-width-relative:page;mso-height-relative:page;" fillcolor="#FFFFFF" filled="t" stroked="f" coordsize="21600,21600" o:gfxdata="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4kfsnV&#10;AAAABwEAAA8AAAAAAAAAAQAgAAAAIgAAAGRycy9kb3ducmV2LnhtbFBLAQIUABQAAAAIAIdO4kDX&#10;0+cjsQEAAF0DAAAOAAAAAAAAAAEAIAAAACQBAABkcnMvZTJvRG9jLnhtbFBLBQYAAAAABgAGAFkB&#10;AABHBQAAAAA=&#10;">
                      <v:fill on="t" focussize="0,0"/>
                      <v:stroke on="f"/>
                      <v:imagedata o:title=""/>
                      <o:lock v:ext="edit" aspectratio="f"/>
                    </v:rect>
                  </w:pict>
                </mc:Fallback>
              </mc:AlternateContent>
            </w:r>
          </w:p>
        </w:tc>
        <w:tc>
          <w:tcPr>
            <w:tcW w:w="90" w:type="dxa"/>
            <w:tcBorders>
              <w:right w:val="single" w:color="FFFFFF" w:sz="2" w:space="0"/>
            </w:tcBorders>
          </w:tcPr>
          <w:p w14:paraId="5770A938">
            <w:pPr>
              <w:rPr>
                <w:color w:val="auto"/>
              </w:rPr>
            </w:pPr>
          </w:p>
        </w:tc>
        <w:tc>
          <w:tcPr>
            <w:tcW w:w="6765" w:type="dxa"/>
            <w:tcBorders>
              <w:left w:val="single" w:color="FFFFFF" w:sz="8" w:space="0"/>
              <w:right w:val="single" w:color="FFFFFF" w:sz="8" w:space="0"/>
            </w:tcBorders>
          </w:tcPr>
          <w:p w14:paraId="3EACDD1C">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3"/>
                <w:sz w:val="24"/>
                <w:szCs w:val="24"/>
              </w:rPr>
              <w:t>课程为纳入人才培养方案(非实习实训课程) 的学分课，配备理论指导教师，具有稳定的实践基地，学生70%以上学时深入基层实践。课程定位准确，须至少经过两个学习或两个教学周期的建设和完善。</w:t>
            </w:r>
          </w:p>
        </w:tc>
        <w:tc>
          <w:tcPr>
            <w:tcW w:w="240" w:type="dxa"/>
            <w:tcBorders>
              <w:left w:val="single" w:color="FFFFFF" w:sz="8" w:space="0"/>
            </w:tcBorders>
          </w:tcPr>
          <w:p w14:paraId="293221D3">
            <w:pPr>
              <w:spacing w:before="113" w:line="308" w:lineRule="auto"/>
              <w:ind w:left="35" w:right="33" w:firstLine="8"/>
              <w:rPr>
                <w:rFonts w:ascii="仿宋" w:hAnsi="仿宋" w:eastAsia="仿宋" w:cs="仿宋"/>
                <w:color w:val="auto"/>
                <w:spacing w:val="11"/>
                <w:sz w:val="24"/>
                <w:szCs w:val="24"/>
              </w:rPr>
            </w:pPr>
          </w:p>
        </w:tc>
      </w:tr>
      <w:tr w14:paraId="30F2D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31" w:type="dxa"/>
            <w:tcBorders>
              <w:right w:val="nil"/>
            </w:tcBorders>
            <w:shd w:val="clear" w:color="auto" w:fill="FFFFFF"/>
          </w:tcPr>
          <w:p w14:paraId="5CCC5409">
            <w:pPr>
              <w:rPr>
                <w:color w:val="auto"/>
              </w:rPr>
            </w:pPr>
          </w:p>
        </w:tc>
        <w:tc>
          <w:tcPr>
            <w:tcW w:w="1628" w:type="dxa"/>
            <w:tcBorders>
              <w:left w:val="nil"/>
              <w:right w:val="nil"/>
            </w:tcBorders>
            <w:vAlign w:val="center"/>
          </w:tcPr>
          <w:p w14:paraId="673FBAC7">
            <w:pPr>
              <w:spacing w:before="114" w:line="261" w:lineRule="auto"/>
              <w:ind w:left="60" w:right="56" w:hanging="7"/>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程内容的思</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想性、时效</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性</w:t>
            </w:r>
          </w:p>
        </w:tc>
        <w:tc>
          <w:tcPr>
            <w:tcW w:w="240" w:type="dxa"/>
            <w:tcBorders>
              <w:left w:val="nil"/>
            </w:tcBorders>
            <w:shd w:val="clear" w:color="auto" w:fill="FFFFFF"/>
          </w:tcPr>
          <w:p w14:paraId="273893D6">
            <w:pPr>
              <w:rPr>
                <w:color w:val="auto"/>
              </w:rPr>
            </w:pPr>
          </w:p>
        </w:tc>
        <w:tc>
          <w:tcPr>
            <w:tcW w:w="90" w:type="dxa"/>
            <w:tcBorders>
              <w:right w:val="single" w:color="FFFFFF" w:sz="2" w:space="0"/>
            </w:tcBorders>
          </w:tcPr>
          <w:p w14:paraId="43B36368">
            <w:pPr>
              <w:rPr>
                <w:color w:val="auto"/>
              </w:rPr>
            </w:pPr>
          </w:p>
        </w:tc>
        <w:tc>
          <w:tcPr>
            <w:tcW w:w="6765" w:type="dxa"/>
            <w:tcBorders>
              <w:left w:val="single" w:color="FFFFFF" w:sz="8" w:space="0"/>
              <w:right w:val="single" w:color="FFFFFF" w:sz="8" w:space="0"/>
            </w:tcBorders>
          </w:tcPr>
          <w:p w14:paraId="47092B66">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将思想政治教育、专业教育与社会服务紧密结合，在同类课程中特色鲜明，成效显著。</w:t>
            </w:r>
          </w:p>
        </w:tc>
        <w:tc>
          <w:tcPr>
            <w:tcW w:w="240" w:type="dxa"/>
            <w:tcBorders>
              <w:left w:val="single" w:color="FFFFFF" w:sz="8" w:space="0"/>
            </w:tcBorders>
          </w:tcPr>
          <w:p w14:paraId="353B683B">
            <w:pPr>
              <w:spacing w:before="113" w:line="308" w:lineRule="auto"/>
              <w:ind w:left="35" w:right="33" w:firstLine="8"/>
              <w:rPr>
                <w:rFonts w:ascii="仿宋" w:hAnsi="仿宋" w:eastAsia="仿宋" w:cs="仿宋"/>
                <w:color w:val="auto"/>
                <w:spacing w:val="11"/>
                <w:sz w:val="24"/>
                <w:szCs w:val="24"/>
              </w:rPr>
            </w:pPr>
          </w:p>
        </w:tc>
      </w:tr>
      <w:tr w14:paraId="65E0C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31" w:type="dxa"/>
            <w:tcBorders>
              <w:right w:val="nil"/>
            </w:tcBorders>
          </w:tcPr>
          <w:p w14:paraId="00C3C165">
            <w:pPr>
              <w:rPr>
                <w:color w:val="auto"/>
              </w:rPr>
            </w:pPr>
          </w:p>
        </w:tc>
        <w:tc>
          <w:tcPr>
            <w:tcW w:w="1628" w:type="dxa"/>
            <w:tcBorders>
              <w:left w:val="nil"/>
              <w:right w:val="nil"/>
            </w:tcBorders>
            <w:vAlign w:val="center"/>
          </w:tcPr>
          <w:p w14:paraId="49346A83">
            <w:pPr>
              <w:spacing w:before="317" w:line="316" w:lineRule="auto"/>
              <w:ind w:left="62" w:right="56" w:hanging="9"/>
              <w:jc w:val="center"/>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程内容的科</w:t>
            </w: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学</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性、时代性</w:t>
            </w:r>
          </w:p>
        </w:tc>
        <w:tc>
          <w:tcPr>
            <w:tcW w:w="240" w:type="dxa"/>
            <w:tcBorders>
              <w:left w:val="nil"/>
            </w:tcBorders>
          </w:tcPr>
          <w:p w14:paraId="5A8B4FD8">
            <w:pPr>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rightMargin">
                        <wp:posOffset>-44450</wp:posOffset>
                      </wp:positionH>
                      <wp:positionV relativeFrom="topMargin">
                        <wp:posOffset>129540</wp:posOffset>
                      </wp:positionV>
                      <wp:extent cx="41275" cy="508000"/>
                      <wp:effectExtent l="0" t="0" r="15875" b="6350"/>
                      <wp:wrapNone/>
                      <wp:docPr id="7" name="矩形 7"/>
                      <wp:cNvGraphicFramePr/>
                      <a:graphic xmlns:a="http://schemas.openxmlformats.org/drawingml/2006/main">
                        <a:graphicData uri="http://schemas.microsoft.com/office/word/2010/wordprocessingShape">
                          <wps:wsp>
                            <wps:cNvSpPr/>
                            <wps:spPr>
                              <a:xfrm>
                                <a:off x="0" y="0"/>
                                <a:ext cx="41275" cy="508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8.4pt;margin-top:10.45pt;height:40pt;width:3.25pt;mso-position-horizontal-relative:page;mso-position-vertical-relative:page;z-index:251663360;mso-width-relative:page;mso-height-relative:page;" fillcolor="#FFFFFF" filled="t" stroked="f" coordsize="21600,21600" o:gfxdata="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ypzyNQA&#10;AAAHAQAADwAAAAAAAAABACAAAAAiAAAAZHJzL2Rvd25yZXYueG1sUEsBAhQAFAAAAAgAh07iQOG+&#10;/iaxAQAAXQMAAA4AAAAAAAAAAQAgAAAAIwEAAGRycy9lMm9Eb2MueG1sUEsFBgAAAAAGAAYAWQEA&#10;AEYFAAAAAA==&#10;">
                      <v:fill on="t" focussize="0,0"/>
                      <v:stroke on="f"/>
                      <v:imagedata o:title=""/>
                      <o:lock v:ext="edit" aspectratio="f"/>
                    </v:rect>
                  </w:pict>
                </mc:Fallback>
              </mc:AlternateContent>
            </w:r>
          </w:p>
        </w:tc>
        <w:tc>
          <w:tcPr>
            <w:tcW w:w="90" w:type="dxa"/>
            <w:tcBorders>
              <w:right w:val="single" w:color="FFFFFF" w:sz="2" w:space="0"/>
            </w:tcBorders>
          </w:tcPr>
          <w:p w14:paraId="7A31D96D">
            <w:pPr>
              <w:rPr>
                <w:color w:val="auto"/>
              </w:rPr>
            </w:pPr>
          </w:p>
        </w:tc>
        <w:tc>
          <w:tcPr>
            <w:tcW w:w="6765" w:type="dxa"/>
            <w:tcBorders>
              <w:left w:val="single" w:color="FFFFFF" w:sz="8" w:space="0"/>
              <w:right w:val="single" w:color="FFFFFF" w:sz="8" w:space="0"/>
            </w:tcBorders>
          </w:tcPr>
          <w:p w14:paraId="2D7EC3F8">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内容先进、新颖，实践内容顺应时代主题，着眼社会关切与需求，注重应用专业知识解决实际问题，充分体现教改教研成果。</w:t>
            </w:r>
          </w:p>
        </w:tc>
        <w:tc>
          <w:tcPr>
            <w:tcW w:w="240" w:type="dxa"/>
            <w:tcBorders>
              <w:left w:val="single" w:color="FFFFFF" w:sz="8" w:space="0"/>
            </w:tcBorders>
          </w:tcPr>
          <w:p w14:paraId="5275EBB3">
            <w:pPr>
              <w:spacing w:before="113" w:line="308" w:lineRule="auto"/>
              <w:ind w:left="35" w:right="33" w:firstLine="8"/>
              <w:rPr>
                <w:rFonts w:ascii="仿宋" w:hAnsi="仿宋" w:eastAsia="仿宋" w:cs="仿宋"/>
                <w:color w:val="auto"/>
                <w:spacing w:val="11"/>
                <w:sz w:val="24"/>
                <w:szCs w:val="24"/>
              </w:rPr>
            </w:pPr>
          </w:p>
        </w:tc>
      </w:tr>
      <w:tr w14:paraId="5FE4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31" w:type="dxa"/>
            <w:tcBorders>
              <w:right w:val="nil"/>
            </w:tcBorders>
            <w:shd w:val="clear" w:color="auto" w:fill="FFFFFF"/>
          </w:tcPr>
          <w:p w14:paraId="2889022B">
            <w:pPr>
              <w:rPr>
                <w:color w:val="auto"/>
              </w:rPr>
            </w:pPr>
          </w:p>
        </w:tc>
        <w:tc>
          <w:tcPr>
            <w:tcW w:w="1628" w:type="dxa"/>
            <w:tcBorders>
              <w:left w:val="nil"/>
              <w:right w:val="nil"/>
            </w:tcBorders>
            <w:vAlign w:val="center"/>
          </w:tcPr>
          <w:p w14:paraId="177D09FE">
            <w:pPr>
              <w:spacing w:before="115" w:line="401" w:lineRule="exact"/>
              <w:ind w:left="53"/>
              <w:jc w:val="center"/>
              <w:rPr>
                <w:rFonts w:ascii="仿宋" w:hAnsi="仿宋" w:eastAsia="仿宋" w:cs="仿宋"/>
                <w:color w:val="auto"/>
                <w:sz w:val="24"/>
                <w:szCs w:val="24"/>
              </w:rPr>
            </w:pPr>
            <w:r>
              <w:rPr>
                <w:rFonts w:ascii="仿宋" w:hAnsi="仿宋" w:eastAsia="仿宋" w:cs="仿宋"/>
                <w:color w:val="auto"/>
                <w:spacing w:val="7"/>
                <w:position w:val="12"/>
                <w:sz w:val="24"/>
                <w:szCs w:val="24"/>
                <w14:textOutline w14:w="4356" w14:cap="flat" w14:cmpd="sng" w14:algn="ctr">
                  <w14:solidFill>
                    <w14:srgbClr w14:val="000000"/>
                  </w14:solidFill>
                  <w14:prstDash w14:val="solid"/>
                  <w14:miter w14:val="0"/>
                </w14:textOutline>
              </w:rPr>
              <w:t>课</w:t>
            </w:r>
            <w:r>
              <w:rPr>
                <w:rFonts w:ascii="仿宋" w:hAnsi="仿宋" w:eastAsia="仿宋" w:cs="仿宋"/>
                <w:color w:val="auto"/>
                <w:spacing w:val="6"/>
                <w:position w:val="12"/>
                <w:sz w:val="24"/>
                <w:szCs w:val="24"/>
                <w14:textOutline w14:w="4356" w14:cap="flat" w14:cmpd="sng" w14:algn="ctr">
                  <w14:solidFill>
                    <w14:srgbClr w14:val="000000"/>
                  </w14:solidFill>
                  <w14:prstDash w14:val="solid"/>
                  <w14:miter w14:val="0"/>
                </w14:textOutline>
              </w:rPr>
              <w:t>程内容的适</w:t>
            </w:r>
          </w:p>
          <w:p w14:paraId="1A59930F">
            <w:pPr>
              <w:spacing w:line="215" w:lineRule="auto"/>
              <w:ind w:left="78"/>
              <w:jc w:val="center"/>
              <w:rPr>
                <w:rFonts w:ascii="仿宋" w:hAnsi="仿宋" w:eastAsia="仿宋" w:cs="仿宋"/>
                <w:color w:val="auto"/>
                <w:sz w:val="24"/>
                <w:szCs w:val="24"/>
              </w:rPr>
            </w:pP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当性、多样性</w:t>
            </w:r>
          </w:p>
        </w:tc>
        <w:tc>
          <w:tcPr>
            <w:tcW w:w="240" w:type="dxa"/>
            <w:tcBorders>
              <w:left w:val="nil"/>
            </w:tcBorders>
            <w:shd w:val="clear" w:color="auto" w:fill="FFFFFF"/>
          </w:tcPr>
          <w:p w14:paraId="33783C89">
            <w:pPr>
              <w:rPr>
                <w:color w:val="auto"/>
              </w:rPr>
            </w:pPr>
          </w:p>
        </w:tc>
        <w:tc>
          <w:tcPr>
            <w:tcW w:w="90" w:type="dxa"/>
            <w:tcBorders>
              <w:right w:val="single" w:color="FFFFFF" w:sz="2" w:space="0"/>
            </w:tcBorders>
          </w:tcPr>
          <w:p w14:paraId="5E4EBF69">
            <w:pPr>
              <w:rPr>
                <w:color w:val="auto"/>
              </w:rPr>
            </w:pPr>
          </w:p>
        </w:tc>
        <w:tc>
          <w:tcPr>
            <w:tcW w:w="6765" w:type="dxa"/>
            <w:tcBorders>
              <w:left w:val="single" w:color="FFFFFF" w:sz="8" w:space="0"/>
              <w:right w:val="single" w:color="FFFFFF" w:sz="8" w:space="0"/>
            </w:tcBorders>
          </w:tcPr>
          <w:p w14:paraId="5AD3099C">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内容及教学环节配置丰富多样，深浅度合理，内容更新与完善及时，考核评价方式科学。</w:t>
            </w:r>
          </w:p>
        </w:tc>
        <w:tc>
          <w:tcPr>
            <w:tcW w:w="240" w:type="dxa"/>
            <w:tcBorders>
              <w:left w:val="single" w:color="FFFFFF" w:sz="8" w:space="0"/>
            </w:tcBorders>
          </w:tcPr>
          <w:p w14:paraId="7AE9BAB3">
            <w:pPr>
              <w:spacing w:before="113" w:line="308" w:lineRule="auto"/>
              <w:ind w:left="35" w:right="33" w:firstLine="8"/>
              <w:rPr>
                <w:rFonts w:ascii="仿宋" w:hAnsi="仿宋" w:eastAsia="仿宋" w:cs="仿宋"/>
                <w:color w:val="auto"/>
                <w:spacing w:val="11"/>
                <w:sz w:val="24"/>
                <w:szCs w:val="24"/>
              </w:rPr>
            </w:pPr>
          </w:p>
        </w:tc>
      </w:tr>
      <w:tr w14:paraId="51C9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31" w:type="dxa"/>
            <w:tcBorders>
              <w:right w:val="nil"/>
            </w:tcBorders>
            <w:shd w:val="clear" w:color="auto" w:fill="FFFFFF"/>
          </w:tcPr>
          <w:p w14:paraId="6108045B">
            <w:pPr>
              <w:jc w:val="center"/>
              <w:rPr>
                <w:color w:val="auto"/>
              </w:rPr>
            </w:pPr>
          </w:p>
        </w:tc>
        <w:tc>
          <w:tcPr>
            <w:tcW w:w="1628" w:type="dxa"/>
            <w:tcBorders>
              <w:left w:val="nil"/>
              <w:right w:val="nil"/>
            </w:tcBorders>
            <w:vAlign w:val="center"/>
          </w:tcPr>
          <w:p w14:paraId="7B65C0E6">
            <w:pPr>
              <w:spacing w:before="115" w:line="401" w:lineRule="exact"/>
              <w:ind w:left="52"/>
              <w:jc w:val="center"/>
              <w:rPr>
                <w:rFonts w:ascii="仿宋" w:hAnsi="仿宋" w:eastAsia="仿宋" w:cs="仿宋"/>
                <w:color w:val="auto"/>
                <w:sz w:val="24"/>
                <w:szCs w:val="24"/>
              </w:rPr>
            </w:pPr>
            <w:r>
              <w:rPr>
                <w:rFonts w:ascii="仿宋" w:hAnsi="仿宋" w:eastAsia="仿宋" w:cs="仿宋"/>
                <w:color w:val="auto"/>
                <w:spacing w:val="8"/>
                <w:position w:val="11"/>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6"/>
                <w:position w:val="11"/>
                <w:sz w:val="24"/>
                <w:szCs w:val="24"/>
                <w14:textOutline w14:w="4356" w14:cap="flat" w14:cmpd="sng" w14:algn="ctr">
                  <w14:solidFill>
                    <w14:srgbClr w14:val="000000"/>
                  </w14:solidFill>
                  <w14:prstDash w14:val="solid"/>
                  <w14:miter w14:val="0"/>
                </w14:textOutline>
              </w:rPr>
              <w:t>学设计的合</w:t>
            </w:r>
          </w:p>
          <w:p w14:paraId="062598DF">
            <w:pPr>
              <w:spacing w:before="1" w:line="215" w:lineRule="auto"/>
              <w:jc w:val="center"/>
              <w:rPr>
                <w:rFonts w:hint="eastAsia" w:ascii="仿宋" w:hAnsi="仿宋" w:eastAsia="仿宋" w:cs="仿宋"/>
                <w:color w:val="auto"/>
                <w:sz w:val="24"/>
                <w:szCs w:val="24"/>
                <w:lang w:eastAsia="zh-CN"/>
              </w:rPr>
            </w:pP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理</w:t>
            </w:r>
            <w:r>
              <w:rPr>
                <w:rFonts w:ascii="仿宋" w:hAnsi="仿宋" w:eastAsia="仿宋" w:cs="仿宋"/>
                <w:color w:val="auto"/>
                <w:spacing w:val="-1"/>
                <w:sz w:val="24"/>
                <w:szCs w:val="24"/>
                <w14:textOutline w14:w="4356" w14:cap="flat" w14:cmpd="sng" w14:algn="ctr">
                  <w14:solidFill>
                    <w14:srgbClr w14:val="000000"/>
                  </w14:solidFill>
                  <w14:prstDash w14:val="solid"/>
                  <w14:miter w14:val="0"/>
                </w14:textOutline>
              </w:rPr>
              <w:t>性</w:t>
            </w:r>
          </w:p>
        </w:tc>
        <w:tc>
          <w:tcPr>
            <w:tcW w:w="240" w:type="dxa"/>
            <w:tcBorders>
              <w:left w:val="nil"/>
            </w:tcBorders>
            <w:shd w:val="clear" w:color="auto" w:fill="FFFFFF"/>
          </w:tcPr>
          <w:p w14:paraId="20F7C1DE">
            <w:pPr>
              <w:rPr>
                <w:color w:val="auto"/>
              </w:rPr>
            </w:pPr>
          </w:p>
        </w:tc>
        <w:tc>
          <w:tcPr>
            <w:tcW w:w="90" w:type="dxa"/>
            <w:tcBorders>
              <w:right w:val="single" w:color="FFFFFF" w:sz="2" w:space="0"/>
            </w:tcBorders>
          </w:tcPr>
          <w:p w14:paraId="1525E89C">
            <w:pPr>
              <w:rPr>
                <w:color w:val="auto"/>
              </w:rPr>
            </w:pPr>
          </w:p>
        </w:tc>
        <w:tc>
          <w:tcPr>
            <w:tcW w:w="6765" w:type="dxa"/>
            <w:tcBorders>
              <w:left w:val="single" w:color="FFFFFF" w:sz="8" w:space="0"/>
              <w:right w:val="single" w:color="FFFFFF" w:sz="8" w:space="0"/>
            </w:tcBorders>
          </w:tcPr>
          <w:p w14:paraId="1FD35FE1">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教学目标明确，教学方法和教学活动组织科学合理，符合教育教学规律。</w:t>
            </w:r>
          </w:p>
        </w:tc>
        <w:tc>
          <w:tcPr>
            <w:tcW w:w="240" w:type="dxa"/>
            <w:tcBorders>
              <w:left w:val="single" w:color="FFFFFF" w:sz="8" w:space="0"/>
            </w:tcBorders>
          </w:tcPr>
          <w:p w14:paraId="4229EF1B">
            <w:pPr>
              <w:spacing w:before="113" w:line="308" w:lineRule="auto"/>
              <w:ind w:left="35" w:right="33" w:firstLine="8"/>
              <w:rPr>
                <w:rFonts w:ascii="仿宋" w:hAnsi="仿宋" w:eastAsia="仿宋" w:cs="仿宋"/>
                <w:color w:val="auto"/>
                <w:spacing w:val="11"/>
                <w:sz w:val="24"/>
                <w:szCs w:val="24"/>
              </w:rPr>
            </w:pPr>
          </w:p>
        </w:tc>
      </w:tr>
      <w:tr w14:paraId="6E9D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jc w:val="center"/>
        </w:trPr>
        <w:tc>
          <w:tcPr>
            <w:tcW w:w="131" w:type="dxa"/>
            <w:tcBorders>
              <w:right w:val="nil"/>
            </w:tcBorders>
          </w:tcPr>
          <w:p w14:paraId="14C4851E">
            <w:pPr>
              <w:rPr>
                <w:color w:val="auto"/>
              </w:rPr>
            </w:pPr>
          </w:p>
        </w:tc>
        <w:tc>
          <w:tcPr>
            <w:tcW w:w="1628" w:type="dxa"/>
            <w:tcBorders>
              <w:left w:val="nil"/>
              <w:right w:val="nil"/>
            </w:tcBorders>
            <w:vAlign w:val="center"/>
          </w:tcPr>
          <w:p w14:paraId="4F220117">
            <w:pPr>
              <w:spacing w:line="436" w:lineRule="auto"/>
              <w:jc w:val="cente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学设计的</w:t>
            </w:r>
          </w:p>
          <w:p w14:paraId="5A7358B5">
            <w:pPr>
              <w:spacing w:line="436" w:lineRule="auto"/>
              <w:jc w:val="center"/>
              <w:rPr>
                <w:rFonts w:ascii="仿宋" w:hAnsi="仿宋" w:eastAsia="仿宋" w:cs="仿宋"/>
                <w:color w:val="auto"/>
                <w:sz w:val="24"/>
                <w:szCs w:val="24"/>
              </w:rPr>
            </w:pP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方</w:t>
            </w:r>
            <w:r>
              <w:rPr>
                <w:rFonts w:ascii="仿宋" w:hAnsi="仿宋" w:eastAsia="仿宋" w:cs="仿宋"/>
                <w:color w:val="auto"/>
                <w:spacing w:val="-10"/>
                <w:sz w:val="24"/>
                <w:szCs w:val="24"/>
                <w14:textOutline w14:w="4356" w14:cap="flat" w14:cmpd="sng" w14:algn="ctr">
                  <w14:solidFill>
                    <w14:srgbClr w14:val="000000"/>
                  </w14:solidFill>
                  <w14:prstDash w14:val="solid"/>
                  <w14:miter w14:val="0"/>
                </w14:textOutline>
              </w:rPr>
              <w:t>向</w:t>
            </w: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性</w:t>
            </w:r>
          </w:p>
        </w:tc>
        <w:tc>
          <w:tcPr>
            <w:tcW w:w="240" w:type="dxa"/>
            <w:tcBorders>
              <w:left w:val="nil"/>
            </w:tcBorders>
          </w:tcPr>
          <w:p w14:paraId="4318ED5E">
            <w:pPr>
              <w:rPr>
                <w:color w:val="auto"/>
              </w:rPr>
            </w:pPr>
            <w:r>
              <w:rPr>
                <w:color w:val="auto"/>
              </w:rPr>
              <mc:AlternateContent>
                <mc:Choice Requires="wps">
                  <w:drawing>
                    <wp:anchor distT="0" distB="0" distL="114300" distR="114300" simplePos="0" relativeHeight="251666432" behindDoc="0" locked="0" layoutInCell="1" allowOverlap="1">
                      <wp:simplePos x="0" y="0"/>
                      <wp:positionH relativeFrom="rightMargin">
                        <wp:posOffset>-44450</wp:posOffset>
                      </wp:positionH>
                      <wp:positionV relativeFrom="topMargin">
                        <wp:posOffset>256540</wp:posOffset>
                      </wp:positionV>
                      <wp:extent cx="41275" cy="508000"/>
                      <wp:effectExtent l="0" t="0" r="15875" b="6350"/>
                      <wp:wrapNone/>
                      <wp:docPr id="16" name="矩形 16"/>
                      <wp:cNvGraphicFramePr/>
                      <a:graphic xmlns:a="http://schemas.openxmlformats.org/drawingml/2006/main">
                        <a:graphicData uri="http://schemas.microsoft.com/office/word/2010/wordprocessingShape">
                          <wps:wsp>
                            <wps:cNvSpPr/>
                            <wps:spPr>
                              <a:xfrm>
                                <a:off x="0" y="0"/>
                                <a:ext cx="41275" cy="508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8.4pt;margin-top:20.45pt;height:40pt;width:3.25pt;mso-position-horizontal-relative:page;mso-position-vertical-relative:page;z-index:251666432;mso-width-relative:page;mso-height-relative:page;" fillcolor="#FFFFFF" filled="t" stroked="f" coordsize="21600,21600" o:gfxdata="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VXWY&#10;1QAAAAcBAAAPAAAAAAAAAAEAIAAAACIAAABkcnMvZG93bnJldi54bWxQSwECFAAUAAAACACHTuJA&#10;+BQ497IBAABfAwAADgAAAAAAAAABACAAAAAkAQAAZHJzL2Uyb0RvYy54bWxQSwUGAAAAAAYABgBZ&#10;AQAASAUAAAAA&#10;">
                      <v:fill on="t" focussize="0,0"/>
                      <v:stroke on="f"/>
                      <v:imagedata o:title=""/>
                      <o:lock v:ext="edit" aspectratio="f"/>
                    </v:rect>
                  </w:pict>
                </mc:Fallback>
              </mc:AlternateContent>
            </w:r>
          </w:p>
        </w:tc>
        <w:tc>
          <w:tcPr>
            <w:tcW w:w="90" w:type="dxa"/>
            <w:tcBorders>
              <w:right w:val="single" w:color="FFFFFF" w:sz="2" w:space="0"/>
            </w:tcBorders>
          </w:tcPr>
          <w:p w14:paraId="1EBE3AC1">
            <w:pPr>
              <w:rPr>
                <w:color w:val="auto"/>
              </w:rPr>
            </w:pPr>
          </w:p>
        </w:tc>
        <w:tc>
          <w:tcPr>
            <w:tcW w:w="7005" w:type="dxa"/>
            <w:gridSpan w:val="2"/>
            <w:tcBorders>
              <w:left w:val="single" w:color="FFFFFF" w:sz="8" w:space="0"/>
            </w:tcBorders>
          </w:tcPr>
          <w:p w14:paraId="47A9704F">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3"/>
                <w:sz w:val="24"/>
                <w:szCs w:val="24"/>
              </w:rPr>
              <mc:AlternateContent>
                <mc:Choice Requires="wps">
                  <w:drawing>
                    <wp:anchor distT="0" distB="0" distL="114300" distR="114300" simplePos="0" relativeHeight="251661312" behindDoc="0" locked="0" layoutInCell="1" allowOverlap="1">
                      <wp:simplePos x="0" y="0"/>
                      <wp:positionH relativeFrom="rightMargin">
                        <wp:posOffset>-43815</wp:posOffset>
                      </wp:positionH>
                      <wp:positionV relativeFrom="topMargin">
                        <wp:posOffset>1905</wp:posOffset>
                      </wp:positionV>
                      <wp:extent cx="41275" cy="1017270"/>
                      <wp:effectExtent l="0" t="0" r="15875" b="11430"/>
                      <wp:wrapNone/>
                      <wp:docPr id="18" name="任意多边形 18"/>
                      <wp:cNvGraphicFramePr/>
                      <a:graphic xmlns:a="http://schemas.openxmlformats.org/drawingml/2006/main">
                        <a:graphicData uri="http://schemas.microsoft.com/office/word/2010/wordprocessingShape">
                          <wps:wsp>
                            <wps:cNvSpPr/>
                            <wps:spPr>
                              <a:xfrm>
                                <a:off x="0" y="0"/>
                                <a:ext cx="41275" cy="1017270"/>
                              </a:xfrm>
                              <a:custGeom>
                                <a:avLst/>
                                <a:gdLst/>
                                <a:ahLst/>
                                <a:cxnLst/>
                                <a:pathLst>
                                  <a:path w="65" h="1601">
                                    <a:moveTo>
                                      <a:pt x="0" y="1601"/>
                                    </a:moveTo>
                                    <a:lnTo>
                                      <a:pt x="64" y="1601"/>
                                    </a:lnTo>
                                    <a:lnTo>
                                      <a:pt x="64" y="0"/>
                                    </a:lnTo>
                                    <a:lnTo>
                                      <a:pt x="0" y="0"/>
                                    </a:lnTo>
                                    <a:lnTo>
                                      <a:pt x="0" y="1601"/>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346.7pt;margin-top:0.4pt;height:80.1pt;width:3.25pt;mso-position-horizontal-relative:page;mso-position-vertical-relative:page;z-index:251661312;mso-width-relative:page;mso-height-relative:page;" fillcolor="#FFFFFF" filled="t" stroked="f" coordsize="65,1601" o:gfxdata="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YKkt9QAAAAFAQAADwAA&#10;AAAAAAABACAAAAAiAAAAZHJzL2Rvd25yZXYueG1sUEsBAhQAFAAAAAgAh07iQKFddboaAgAAgQQA&#10;AA4AAAAAAAAAAQAgAAAAIwEAAGRycy9lMm9Eb2MueG1sUEsFBgAAAAAGAAYAWQEAAK8FAAAAAA==&#10;" path="m0,1601l64,1601,64,0,0,0,0,1601xe">
                      <v:fill on="t" focussize="0,0"/>
                      <v:stroke on="f"/>
                      <v:imagedata o:title=""/>
                      <o:lock v:ext="edit" aspectratio="f"/>
                    </v:shape>
                  </w:pict>
                </mc:Fallback>
              </mc:AlternateContent>
            </w:r>
            <w:r>
              <w:rPr>
                <w:rFonts w:ascii="仿宋" w:hAnsi="仿宋" w:eastAsia="仿宋" w:cs="仿宋"/>
                <w:color w:val="auto"/>
                <w:spacing w:val="13"/>
                <w:sz w:val="24"/>
                <w:szCs w:val="24"/>
              </w:rPr>
              <w:t>通过“青年红色筑梦之旅”、“互联网+”大学生创新创业大赛、创新创业和思想政治理论课程社会实践等活动，推动思想政治教育、专业教育与社会服务紧密结合，培养学生认识社会、研究社会、理解社会、服务社会的意识和能力。</w:t>
            </w:r>
          </w:p>
        </w:tc>
      </w:tr>
      <w:tr w14:paraId="25F4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31" w:type="dxa"/>
            <w:tcBorders>
              <w:right w:val="nil"/>
            </w:tcBorders>
          </w:tcPr>
          <w:p w14:paraId="155AF3D8">
            <w:pPr>
              <w:rPr>
                <w:color w:val="auto"/>
              </w:rPr>
            </w:pPr>
          </w:p>
        </w:tc>
        <w:tc>
          <w:tcPr>
            <w:tcW w:w="1628" w:type="dxa"/>
            <w:tcBorders>
              <w:left w:val="nil"/>
              <w:right w:val="nil"/>
            </w:tcBorders>
          </w:tcPr>
          <w:p w14:paraId="5D617087">
            <w:pPr>
              <w:spacing w:before="318" w:line="316" w:lineRule="auto"/>
              <w:ind w:left="553" w:right="56" w:hanging="501"/>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教</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学设计的创</w:t>
            </w:r>
            <w:r>
              <w:rPr>
                <w:rFonts w:ascii="仿宋" w:hAnsi="仿宋" w:eastAsia="仿宋" w:cs="仿宋"/>
                <w:color w:val="auto"/>
                <w:spacing w:val="-1"/>
                <w:sz w:val="24"/>
                <w:szCs w:val="24"/>
                <w14:textOutline w14:w="4356" w14:cap="flat" w14:cmpd="sng" w14:algn="ctr">
                  <w14:solidFill>
                    <w14:srgbClr w14:val="000000"/>
                  </w14:solidFill>
                  <w14:prstDash w14:val="solid"/>
                  <w14:miter w14:val="0"/>
                </w14:textOutline>
              </w:rPr>
              <w:t>新性</w:t>
            </w:r>
          </w:p>
        </w:tc>
        <w:tc>
          <w:tcPr>
            <w:tcW w:w="240" w:type="dxa"/>
            <w:tcBorders>
              <w:left w:val="nil"/>
            </w:tcBorders>
          </w:tcPr>
          <w:p w14:paraId="017401AC">
            <w:pPr>
              <w:rPr>
                <w:color w:val="auto"/>
              </w:rPr>
            </w:pPr>
            <w:r>
              <w:rPr>
                <w:color w:val="auto"/>
              </w:rPr>
              <mc:AlternateContent>
                <mc:Choice Requires="wps">
                  <w:drawing>
                    <wp:anchor distT="0" distB="0" distL="114300" distR="114300" simplePos="0" relativeHeight="251665408" behindDoc="0" locked="0" layoutInCell="1" allowOverlap="1">
                      <wp:simplePos x="0" y="0"/>
                      <wp:positionH relativeFrom="rightMargin">
                        <wp:posOffset>-44450</wp:posOffset>
                      </wp:positionH>
                      <wp:positionV relativeFrom="topMargin">
                        <wp:posOffset>130810</wp:posOffset>
                      </wp:positionV>
                      <wp:extent cx="41275" cy="508000"/>
                      <wp:effectExtent l="0" t="0" r="15875" b="6350"/>
                      <wp:wrapNone/>
                      <wp:docPr id="19" name="矩形 19"/>
                      <wp:cNvGraphicFramePr/>
                      <a:graphic xmlns:a="http://schemas.openxmlformats.org/drawingml/2006/main">
                        <a:graphicData uri="http://schemas.microsoft.com/office/word/2010/wordprocessingShape">
                          <wps:wsp>
                            <wps:cNvSpPr/>
                            <wps:spPr>
                              <a:xfrm>
                                <a:off x="0" y="0"/>
                                <a:ext cx="41275" cy="508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8.4pt;margin-top:10.55pt;height:40pt;width:3.25pt;mso-position-horizontal-relative:page;mso-position-vertical-relative:page;z-index:251665408;mso-width-relative:page;mso-height-relative:page;" fillcolor="#FFFFFF" filled="t" stroked="f" coordsize="21600,21600" o:gfxdata="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MFivjU&#10;AAAABwEAAA8AAAAAAAAAAQAgAAAAIgAAAGRycy9kb3ducmV2LnhtbFBLAQIUABQAAAAIAIdO4kCe&#10;QbHxsgEAAF8DAAAOAAAAAAAAAAEAIAAAACMBAABkcnMvZTJvRG9jLnhtbFBLBQYAAAAABgAGAFkB&#10;AABHBQAAAAA=&#10;">
                      <v:fill on="t" focussize="0,0"/>
                      <v:stroke on="f"/>
                      <v:imagedata o:title=""/>
                      <o:lock v:ext="edit" aspectratio="f"/>
                    </v:rect>
                  </w:pict>
                </mc:Fallback>
              </mc:AlternateContent>
            </w:r>
          </w:p>
        </w:tc>
        <w:tc>
          <w:tcPr>
            <w:tcW w:w="90" w:type="dxa"/>
            <w:tcBorders>
              <w:right w:val="single" w:color="FFFFFF" w:sz="2" w:space="0"/>
            </w:tcBorders>
          </w:tcPr>
          <w:p w14:paraId="7B73F440">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3543A545">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有针对性地解决当前教育教学中存在的问题，充分利用信息化教学、数字化教学工具的优势进行教学的重构，理论教学与实践教学有机融合和衔接。</w:t>
            </w:r>
          </w:p>
        </w:tc>
        <w:tc>
          <w:tcPr>
            <w:tcW w:w="240" w:type="dxa"/>
            <w:tcBorders>
              <w:left w:val="single" w:color="FFFFFF" w:sz="8" w:space="0"/>
            </w:tcBorders>
          </w:tcPr>
          <w:p w14:paraId="15036A6F">
            <w:pPr>
              <w:spacing w:before="113" w:line="308" w:lineRule="auto"/>
              <w:ind w:left="35" w:right="33" w:firstLine="8"/>
              <w:rPr>
                <w:rFonts w:ascii="仿宋" w:hAnsi="仿宋" w:eastAsia="仿宋" w:cs="仿宋"/>
                <w:color w:val="auto"/>
                <w:spacing w:val="11"/>
                <w:sz w:val="24"/>
                <w:szCs w:val="24"/>
              </w:rPr>
            </w:pPr>
          </w:p>
        </w:tc>
      </w:tr>
      <w:tr w14:paraId="5F14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999" w:type="dxa"/>
            <w:gridSpan w:val="3"/>
          </w:tcPr>
          <w:p w14:paraId="71F4AD27">
            <w:pPr>
              <w:spacing w:before="318" w:line="220" w:lineRule="auto"/>
              <w:ind w:left="306"/>
              <w:rPr>
                <w:rFonts w:ascii="仿宋" w:hAnsi="仿宋" w:eastAsia="仿宋" w:cs="仿宋"/>
                <w:color w:val="auto"/>
                <w:sz w:val="24"/>
                <w:szCs w:val="24"/>
              </w:rPr>
            </w:pPr>
            <w:r>
              <w:rPr>
                <w:rFonts w:ascii="仿宋" w:hAnsi="仿宋" w:eastAsia="仿宋" w:cs="仿宋"/>
                <w:color w:val="auto"/>
                <w:spacing w:val="7"/>
                <w:sz w:val="24"/>
                <w:szCs w:val="24"/>
                <w14:textOutline w14:w="4356" w14:cap="flat" w14:cmpd="sng" w14:algn="ctr">
                  <w14:solidFill>
                    <w14:srgbClr w14:val="000000"/>
                  </w14:solidFill>
                  <w14:prstDash w14:val="solid"/>
                  <w14:miter w14:val="0"/>
                </w14:textOutline>
              </w:rPr>
              <w:t>项</w:t>
            </w: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目负责人</w:t>
            </w:r>
          </w:p>
        </w:tc>
        <w:tc>
          <w:tcPr>
            <w:tcW w:w="90" w:type="dxa"/>
            <w:tcBorders>
              <w:right w:val="single" w:color="FFFFFF" w:sz="2" w:space="0"/>
            </w:tcBorders>
          </w:tcPr>
          <w:p w14:paraId="25B77581">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0E437D98">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具备良好的师德师风，在本专业领域具有丰富的教学经验，教学水平高，在组织社会实践方面责任心强，领导力突出。</w:t>
            </w:r>
          </w:p>
        </w:tc>
        <w:tc>
          <w:tcPr>
            <w:tcW w:w="240" w:type="dxa"/>
            <w:tcBorders>
              <w:left w:val="single" w:color="FFFFFF" w:sz="8" w:space="0"/>
            </w:tcBorders>
          </w:tcPr>
          <w:p w14:paraId="7173C1A9">
            <w:pPr>
              <w:spacing w:before="113" w:line="308" w:lineRule="auto"/>
              <w:ind w:left="35" w:right="33" w:firstLine="8"/>
              <w:rPr>
                <w:rFonts w:ascii="仿宋" w:hAnsi="仿宋" w:eastAsia="仿宋" w:cs="仿宋"/>
                <w:color w:val="auto"/>
                <w:spacing w:val="11"/>
                <w:sz w:val="24"/>
                <w:szCs w:val="24"/>
              </w:rPr>
            </w:pPr>
          </w:p>
        </w:tc>
      </w:tr>
      <w:tr w14:paraId="6B6C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999" w:type="dxa"/>
            <w:gridSpan w:val="3"/>
          </w:tcPr>
          <w:p w14:paraId="3E67BEBE">
            <w:pPr>
              <w:spacing w:before="317" w:line="219" w:lineRule="auto"/>
              <w:ind w:left="434"/>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项目团队</w:t>
            </w:r>
          </w:p>
        </w:tc>
        <w:tc>
          <w:tcPr>
            <w:tcW w:w="90" w:type="dxa"/>
            <w:tcBorders>
              <w:right w:val="single" w:color="FFFFFF" w:sz="2" w:space="0"/>
            </w:tcBorders>
          </w:tcPr>
          <w:p w14:paraId="554DCB29">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nil"/>
            </w:tcBorders>
          </w:tcPr>
          <w:p w14:paraId="28C0EA0D">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主讲教师师德好、能力强，组织协同能力突出，教学表现力强，团队人员结构及任务分工合理。</w:t>
            </w:r>
          </w:p>
        </w:tc>
        <w:tc>
          <w:tcPr>
            <w:tcW w:w="240" w:type="dxa"/>
            <w:tcBorders>
              <w:left w:val="nil"/>
            </w:tcBorders>
            <w:shd w:val="clear" w:color="auto" w:fill="FFFFFF"/>
          </w:tcPr>
          <w:p w14:paraId="13E21006">
            <w:pPr>
              <w:spacing w:before="113" w:line="308" w:lineRule="auto"/>
              <w:ind w:left="35" w:right="33" w:firstLine="8"/>
              <w:rPr>
                <w:rFonts w:ascii="仿宋" w:hAnsi="仿宋" w:eastAsia="仿宋" w:cs="仿宋"/>
                <w:color w:val="auto"/>
                <w:spacing w:val="11"/>
                <w:sz w:val="24"/>
                <w:szCs w:val="24"/>
              </w:rPr>
            </w:pPr>
          </w:p>
        </w:tc>
      </w:tr>
      <w:tr w14:paraId="0DF0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999" w:type="dxa"/>
            <w:gridSpan w:val="3"/>
          </w:tcPr>
          <w:p w14:paraId="58E6D683">
            <w:pPr>
              <w:jc w:val="center"/>
              <w:rPr>
                <w:rFonts w:hint="eastAsia" w:ascii="仿宋" w:hAnsi="仿宋" w:eastAsia="仿宋" w:cs="仿宋"/>
                <w:color w:val="auto"/>
                <w:spacing w:val="4"/>
                <w:sz w:val="24"/>
                <w:szCs w:val="24"/>
                <w14:textOutline w14:w="4356" w14:cap="flat" w14:cmpd="sng" w14:algn="ctr">
                  <w14:solidFill>
                    <w14:srgbClr w14:val="000000"/>
                  </w14:solidFill>
                  <w14:prstDash w14:val="solid"/>
                  <w14:miter w14:val="0"/>
                </w14:textOutline>
              </w:rPr>
            </w:pPr>
          </w:p>
          <w:p w14:paraId="7A8B3650">
            <w:pPr>
              <w:jc w:val="center"/>
              <w:rPr>
                <w:rFonts w:hint="eastAsia" w:ascii="仿宋" w:hAnsi="仿宋" w:eastAsia="仿宋" w:cs="仿宋"/>
                <w:color w:val="auto"/>
                <w:spacing w:val="4"/>
                <w:sz w:val="24"/>
                <w:szCs w:val="24"/>
                <w14:textOutline w14:w="4356" w14:cap="flat" w14:cmpd="sng" w14:algn="ctr">
                  <w14:solidFill>
                    <w14:srgbClr w14:val="000000"/>
                  </w14:solidFill>
                  <w14:prstDash w14:val="solid"/>
                  <w14:miter w14:val="0"/>
                </w14:textOutline>
              </w:rPr>
            </w:pPr>
            <w:r>
              <w:rPr>
                <w:rFonts w:hint="eastAsia" w:ascii="仿宋" w:hAnsi="仿宋" w:eastAsia="仿宋" w:cs="仿宋"/>
                <w:color w:val="auto"/>
                <w:spacing w:val="4"/>
                <w:sz w:val="24"/>
                <w:szCs w:val="24"/>
                <w14:textOutline w14:w="4356" w14:cap="flat" w14:cmpd="sng" w14:algn="ctr">
                  <w14:solidFill>
                    <w14:srgbClr w14:val="000000"/>
                  </w14:solidFill>
                  <w14:prstDash w14:val="solid"/>
                  <w14:miter w14:val="0"/>
                </w14:textOutline>
              </w:rPr>
              <w:t>师生教学</w:t>
            </w:r>
          </w:p>
          <w:p w14:paraId="76E0312E">
            <w:pPr>
              <w:jc w:val="center"/>
              <w:rPr>
                <w:color w:val="auto"/>
              </w:rPr>
            </w:pPr>
            <w:r>
              <w:rPr>
                <w:rFonts w:hint="eastAsia" w:ascii="仿宋" w:hAnsi="仿宋" w:eastAsia="仿宋" w:cs="仿宋"/>
                <w:color w:val="auto"/>
                <w:spacing w:val="4"/>
                <w:sz w:val="24"/>
                <w:szCs w:val="24"/>
                <w14:textOutline w14:w="4356" w14:cap="flat" w14:cmpd="sng" w14:algn="ctr">
                  <w14:solidFill>
                    <w14:srgbClr w14:val="000000"/>
                  </w14:solidFill>
                  <w14:prstDash w14:val="solid"/>
                  <w14:miter w14:val="0"/>
                </w14:textOutline>
              </w:rPr>
              <w:t>实践活动</w:t>
            </w:r>
          </w:p>
        </w:tc>
        <w:tc>
          <w:tcPr>
            <w:tcW w:w="90" w:type="dxa"/>
            <w:tcBorders>
              <w:right w:val="single" w:color="FFFFFF" w:sz="2" w:space="0"/>
            </w:tcBorders>
          </w:tcPr>
          <w:p w14:paraId="77F1987F">
            <w:pPr>
              <w:spacing w:before="113" w:line="308" w:lineRule="auto"/>
              <w:ind w:left="35" w:right="33" w:firstLine="8"/>
              <w:jc w:val="center"/>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7A381267">
            <w:pPr>
              <w:rPr>
                <w:rFonts w:ascii="仿宋" w:hAnsi="仿宋" w:eastAsia="仿宋" w:cs="仿宋"/>
                <w:color w:val="auto"/>
                <w:spacing w:val="11"/>
                <w:sz w:val="24"/>
                <w:szCs w:val="24"/>
              </w:rPr>
            </w:pPr>
            <w:r>
              <w:rPr>
                <w:rFonts w:ascii="仿宋" w:hAnsi="仿宋" w:eastAsia="仿宋" w:cs="仿宋"/>
                <w:color w:val="auto"/>
                <w:spacing w:val="13"/>
                <w:sz w:val="24"/>
                <w:szCs w:val="24"/>
              </w:rPr>
              <w:t>教师能够根据学生认知规律因材施教，引导师生之间、学生之间的交流互动，在教学及实践活动中策略应用得当，过程管理严格，多元化管理评价体系科学合理，反思评价积极有效；学生在课程教学与实践活动中参与度高，获得感强，师生互动活跃。</w:t>
            </w:r>
          </w:p>
        </w:tc>
        <w:tc>
          <w:tcPr>
            <w:tcW w:w="240" w:type="dxa"/>
            <w:tcBorders>
              <w:left w:val="single" w:color="FFFFFF" w:sz="8" w:space="0"/>
            </w:tcBorders>
          </w:tcPr>
          <w:p w14:paraId="4926517C">
            <w:pPr>
              <w:spacing w:before="113" w:line="308" w:lineRule="auto"/>
              <w:ind w:left="35" w:right="33" w:firstLine="8"/>
              <w:jc w:val="center"/>
              <w:rPr>
                <w:rFonts w:ascii="仿宋" w:hAnsi="仿宋" w:eastAsia="仿宋" w:cs="仿宋"/>
                <w:color w:val="auto"/>
                <w:spacing w:val="11"/>
                <w:sz w:val="24"/>
                <w:szCs w:val="24"/>
              </w:rPr>
            </w:pPr>
          </w:p>
        </w:tc>
      </w:tr>
      <w:tr w14:paraId="20F7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jc w:val="center"/>
        </w:trPr>
        <w:tc>
          <w:tcPr>
            <w:tcW w:w="1999" w:type="dxa"/>
            <w:gridSpan w:val="3"/>
          </w:tcPr>
          <w:p w14:paraId="188E28F3">
            <w:pPr>
              <w:spacing w:line="433" w:lineRule="auto"/>
              <w:rPr>
                <w:color w:val="auto"/>
              </w:rPr>
            </w:pPr>
          </w:p>
          <w:p w14:paraId="181476AC">
            <w:pPr>
              <w:spacing w:before="78" w:line="220" w:lineRule="auto"/>
              <w:ind w:left="433"/>
              <w:rPr>
                <w:rFonts w:ascii="仿宋" w:hAnsi="仿宋" w:eastAsia="仿宋" w:cs="仿宋"/>
                <w:color w:val="auto"/>
                <w:sz w:val="24"/>
                <w:szCs w:val="24"/>
              </w:rPr>
            </w:pP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基</w:t>
            </w: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础建设</w:t>
            </w:r>
          </w:p>
        </w:tc>
        <w:tc>
          <w:tcPr>
            <w:tcW w:w="90" w:type="dxa"/>
            <w:tcBorders>
              <w:right w:val="single" w:color="FFFFFF" w:sz="2" w:space="0"/>
            </w:tcBorders>
          </w:tcPr>
          <w:p w14:paraId="4077ABF5">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76E65042">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3"/>
                <w:sz w:val="24"/>
                <w:szCs w:val="24"/>
              </w:rPr>
              <w:t>建立学校实践长效机制，实践基地具备稳定性与可持续性， 能够为师生实践提供基本生活及安全保障，对于促进学生服务社会、增长才干具有较高的实践价值。</w:t>
            </w:r>
          </w:p>
        </w:tc>
        <w:tc>
          <w:tcPr>
            <w:tcW w:w="240" w:type="dxa"/>
            <w:tcBorders>
              <w:left w:val="single" w:color="FFFFFF" w:sz="8" w:space="0"/>
            </w:tcBorders>
          </w:tcPr>
          <w:p w14:paraId="20B6B0AA">
            <w:pPr>
              <w:spacing w:before="113" w:line="308" w:lineRule="auto"/>
              <w:ind w:left="35" w:right="33" w:firstLine="8"/>
              <w:rPr>
                <w:rFonts w:ascii="仿宋" w:hAnsi="仿宋" w:eastAsia="仿宋" w:cs="仿宋"/>
                <w:color w:val="auto"/>
                <w:spacing w:val="11"/>
                <w:sz w:val="24"/>
                <w:szCs w:val="24"/>
              </w:rPr>
            </w:pPr>
          </w:p>
        </w:tc>
      </w:tr>
      <w:tr w14:paraId="3285D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1999" w:type="dxa"/>
            <w:gridSpan w:val="3"/>
          </w:tcPr>
          <w:p w14:paraId="1FF0EB6B">
            <w:pPr>
              <w:spacing w:before="316" w:line="217" w:lineRule="auto"/>
              <w:ind w:left="436"/>
              <w:rPr>
                <w:rFonts w:ascii="仿宋" w:hAnsi="仿宋" w:eastAsia="仿宋" w:cs="仿宋"/>
                <w:color w:val="auto"/>
                <w:sz w:val="24"/>
                <w:szCs w:val="24"/>
              </w:rPr>
            </w:pPr>
            <w:r>
              <w:rPr>
                <w:rFonts w:ascii="仿宋" w:hAnsi="仿宋" w:eastAsia="仿宋" w:cs="仿宋"/>
                <w:color w:val="auto"/>
                <w:spacing w:val="5"/>
                <w:sz w:val="24"/>
                <w:szCs w:val="24"/>
                <w14:textOutline w14:w="4356" w14:cap="flat" w14:cmpd="sng" w14:algn="ctr">
                  <w14:solidFill>
                    <w14:srgbClr w14:val="000000"/>
                  </w14:solidFill>
                  <w14:prstDash w14:val="solid"/>
                  <w14:miter w14:val="0"/>
                </w14:textOutline>
              </w:rPr>
              <w:t>条</w:t>
            </w:r>
            <w:r>
              <w:rPr>
                <w:rFonts w:ascii="仿宋" w:hAnsi="仿宋" w:eastAsia="仿宋" w:cs="仿宋"/>
                <w:color w:val="auto"/>
                <w:spacing w:val="3"/>
                <w:sz w:val="24"/>
                <w:szCs w:val="24"/>
                <w14:textOutline w14:w="4356" w14:cap="flat" w14:cmpd="sng" w14:algn="ctr">
                  <w14:solidFill>
                    <w14:srgbClr w14:val="000000"/>
                  </w14:solidFill>
                  <w14:prstDash w14:val="solid"/>
                  <w14:miter w14:val="0"/>
                </w14:textOutline>
              </w:rPr>
              <w:t>件保障</w:t>
            </w:r>
          </w:p>
        </w:tc>
        <w:tc>
          <w:tcPr>
            <w:tcW w:w="90" w:type="dxa"/>
            <w:tcBorders>
              <w:right w:val="single" w:color="FFFFFF" w:sz="2" w:space="0"/>
            </w:tcBorders>
          </w:tcPr>
          <w:p w14:paraId="147F2D19">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3D7EDFD2">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学校对课程教学及社会实践活动的经费支出、鼓励机制及政策保障。</w:t>
            </w:r>
          </w:p>
        </w:tc>
        <w:tc>
          <w:tcPr>
            <w:tcW w:w="240" w:type="dxa"/>
            <w:tcBorders>
              <w:left w:val="single" w:color="FFFFFF" w:sz="8" w:space="0"/>
            </w:tcBorders>
          </w:tcPr>
          <w:p w14:paraId="6B629890">
            <w:pPr>
              <w:spacing w:before="113" w:line="308" w:lineRule="auto"/>
              <w:ind w:left="35" w:right="33" w:firstLine="8"/>
              <w:rPr>
                <w:rFonts w:ascii="仿宋" w:hAnsi="仿宋" w:eastAsia="仿宋" w:cs="仿宋"/>
                <w:color w:val="auto"/>
                <w:spacing w:val="11"/>
                <w:sz w:val="24"/>
                <w:szCs w:val="24"/>
              </w:rPr>
            </w:pPr>
          </w:p>
        </w:tc>
      </w:tr>
      <w:tr w14:paraId="158B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999" w:type="dxa"/>
            <w:gridSpan w:val="3"/>
          </w:tcPr>
          <w:p w14:paraId="2A5BC963">
            <w:pPr>
              <w:spacing w:line="433" w:lineRule="auto"/>
              <w:rPr>
                <w:color w:val="auto"/>
              </w:rPr>
            </w:pPr>
          </w:p>
          <w:p w14:paraId="2B0FCC50">
            <w:pPr>
              <w:spacing w:before="78" w:line="219" w:lineRule="auto"/>
              <w:ind w:left="443"/>
              <w:rPr>
                <w:rFonts w:ascii="仿宋" w:hAnsi="仿宋" w:eastAsia="仿宋" w:cs="仿宋"/>
                <w:color w:val="auto"/>
                <w:sz w:val="24"/>
                <w:szCs w:val="24"/>
              </w:rPr>
            </w:pP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学生</w:t>
            </w:r>
            <w:r>
              <w:rPr>
                <w:rFonts w:ascii="仿宋" w:hAnsi="仿宋" w:eastAsia="仿宋" w:cs="仿宋"/>
                <w:color w:val="auto"/>
                <w:spacing w:val="1"/>
                <w:sz w:val="24"/>
                <w:szCs w:val="24"/>
                <w14:textOutline w14:w="4356" w14:cap="flat" w14:cmpd="sng" w14:algn="ctr">
                  <w14:solidFill>
                    <w14:srgbClr w14:val="000000"/>
                  </w14:solidFill>
                  <w14:prstDash w14:val="solid"/>
                  <w14:miter w14:val="0"/>
                </w14:textOutline>
              </w:rPr>
              <w:t>收获</w:t>
            </w:r>
          </w:p>
        </w:tc>
        <w:tc>
          <w:tcPr>
            <w:tcW w:w="90" w:type="dxa"/>
            <w:tcBorders>
              <w:right w:val="single" w:color="FFFFFF" w:sz="2" w:space="0"/>
            </w:tcBorders>
          </w:tcPr>
          <w:p w14:paraId="4EDF43E4">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49E00973">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学生在掌握专业知识技能的通识，家国情怀、创新意识和社会责任感显著增强，创新能力、研究能力、专业知识运用能力、社会沟通能力、领导组织能力显著提高。</w:t>
            </w:r>
          </w:p>
        </w:tc>
        <w:tc>
          <w:tcPr>
            <w:tcW w:w="240" w:type="dxa"/>
            <w:tcBorders>
              <w:left w:val="single" w:color="FFFFFF" w:sz="8" w:space="0"/>
            </w:tcBorders>
          </w:tcPr>
          <w:p w14:paraId="17985B6C">
            <w:pPr>
              <w:spacing w:before="113" w:line="308" w:lineRule="auto"/>
              <w:ind w:left="35" w:right="33" w:firstLine="8"/>
              <w:rPr>
                <w:rFonts w:ascii="仿宋" w:hAnsi="仿宋" w:eastAsia="仿宋" w:cs="仿宋"/>
                <w:color w:val="auto"/>
                <w:spacing w:val="11"/>
                <w:sz w:val="24"/>
                <w:szCs w:val="24"/>
              </w:rPr>
            </w:pPr>
          </w:p>
        </w:tc>
      </w:tr>
      <w:tr w14:paraId="3FB0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999" w:type="dxa"/>
            <w:gridSpan w:val="3"/>
          </w:tcPr>
          <w:p w14:paraId="7A8480AE">
            <w:pPr>
              <w:spacing w:line="437" w:lineRule="auto"/>
              <w:rPr>
                <w:color w:val="auto"/>
              </w:rPr>
            </w:pPr>
          </w:p>
          <w:p w14:paraId="15C22BF8">
            <w:pPr>
              <w:spacing w:before="78" w:line="218" w:lineRule="auto"/>
              <w:ind w:left="180"/>
              <w:rPr>
                <w:rFonts w:ascii="仿宋" w:hAnsi="仿宋" w:eastAsia="仿宋" w:cs="仿宋"/>
                <w:color w:val="auto"/>
                <w:sz w:val="24"/>
                <w:szCs w:val="24"/>
              </w:rPr>
            </w:pPr>
            <w:r>
              <w:rPr>
                <w:rFonts w:ascii="仿宋" w:hAnsi="仿宋" w:eastAsia="仿宋" w:cs="仿宋"/>
                <w:color w:val="auto"/>
                <w:spacing w:val="8"/>
                <w:sz w:val="24"/>
                <w:szCs w:val="24"/>
                <w14:textOutline w14:w="4356" w14:cap="flat" w14:cmpd="sng" w14:algn="ctr">
                  <w14:solidFill>
                    <w14:srgbClr w14:val="000000"/>
                  </w14:solidFill>
                  <w14:prstDash w14:val="solid"/>
                  <w14:miter w14:val="0"/>
                </w14:textOutline>
              </w:rPr>
              <w:t>服</w:t>
            </w:r>
            <w:r>
              <w:rPr>
                <w:rFonts w:ascii="仿宋" w:hAnsi="仿宋" w:eastAsia="仿宋" w:cs="仿宋"/>
                <w:color w:val="auto"/>
                <w:spacing w:val="6"/>
                <w:sz w:val="24"/>
                <w:szCs w:val="24"/>
                <w14:textOutline w14:w="4356" w14:cap="flat" w14:cmpd="sng" w14:algn="ctr">
                  <w14:solidFill>
                    <w14:srgbClr w14:val="000000"/>
                  </w14:solidFill>
                  <w14:prstDash w14:val="solid"/>
                  <w14:miter w14:val="0"/>
                </w14:textOutline>
              </w:rPr>
              <w:t>务社会效果</w:t>
            </w:r>
          </w:p>
        </w:tc>
        <w:tc>
          <w:tcPr>
            <w:tcW w:w="90" w:type="dxa"/>
            <w:tcBorders>
              <w:right w:val="single" w:color="FFFFFF" w:sz="2" w:space="0"/>
            </w:tcBorders>
          </w:tcPr>
          <w:p w14:paraId="1FFF0C29">
            <w:pPr>
              <w:spacing w:before="113" w:line="308" w:lineRule="auto"/>
              <w:ind w:left="35" w:right="33" w:firstLine="8"/>
              <w:rPr>
                <w:rFonts w:ascii="仿宋" w:hAnsi="仿宋" w:eastAsia="仿宋" w:cs="仿宋"/>
                <w:color w:val="auto"/>
                <w:spacing w:val="11"/>
                <w:sz w:val="24"/>
                <w:szCs w:val="24"/>
              </w:rPr>
            </w:pPr>
          </w:p>
        </w:tc>
        <w:tc>
          <w:tcPr>
            <w:tcW w:w="6765" w:type="dxa"/>
            <w:tcBorders>
              <w:left w:val="single" w:color="FFFFFF" w:sz="8" w:space="0"/>
              <w:right w:val="single" w:color="FFFFFF" w:sz="8" w:space="0"/>
            </w:tcBorders>
          </w:tcPr>
          <w:p w14:paraId="14A3FC8D">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实践基地、基础民众对社会实践项目及学生综合能力的评价及反馈；实践经验得到推广，获得媒体关注报道，或获得国家级、省部级奖励表彰。</w:t>
            </w:r>
          </w:p>
        </w:tc>
        <w:tc>
          <w:tcPr>
            <w:tcW w:w="240" w:type="dxa"/>
            <w:tcBorders>
              <w:left w:val="single" w:color="FFFFFF" w:sz="8" w:space="0"/>
            </w:tcBorders>
          </w:tcPr>
          <w:p w14:paraId="7CBB0F30">
            <w:pPr>
              <w:spacing w:before="113" w:line="308" w:lineRule="auto"/>
              <w:ind w:left="35" w:right="33" w:firstLine="8"/>
              <w:rPr>
                <w:rFonts w:ascii="仿宋" w:hAnsi="仿宋" w:eastAsia="仿宋" w:cs="仿宋"/>
                <w:color w:val="auto"/>
                <w:spacing w:val="11"/>
                <w:sz w:val="24"/>
                <w:szCs w:val="24"/>
              </w:rPr>
            </w:pPr>
          </w:p>
        </w:tc>
      </w:tr>
      <w:tr w14:paraId="3647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999" w:type="dxa"/>
            <w:gridSpan w:val="3"/>
          </w:tcPr>
          <w:p w14:paraId="2A4D40B9">
            <w:pPr>
              <w:spacing w:before="5" w:line="84" w:lineRule="exact"/>
              <w:ind w:firstLine="4"/>
              <w:textAlignment w:val="center"/>
              <w:rPr>
                <w:color w:val="auto"/>
              </w:rPr>
            </w:pPr>
            <w:r>
              <w:rPr>
                <w:color w:val="auto"/>
              </w:rPr>
              <mc:AlternateContent>
                <mc:Choice Requires="wps">
                  <w:drawing>
                    <wp:inline distT="0" distB="0" distL="114300" distR="114300">
                      <wp:extent cx="1161415" cy="53975"/>
                      <wp:effectExtent l="0" t="0" r="635" b="3175"/>
                      <wp:docPr id="20" name="任意多边形 20"/>
                      <wp:cNvGraphicFramePr/>
                      <a:graphic xmlns:a="http://schemas.openxmlformats.org/drawingml/2006/main">
                        <a:graphicData uri="http://schemas.microsoft.com/office/word/2010/wordprocessingShape">
                          <wps:wsp>
                            <wps:cNvSpPr/>
                            <wps:spPr>
                              <a:xfrm>
                                <a:off x="0" y="0"/>
                                <a:ext cx="1161415" cy="53975"/>
                              </a:xfrm>
                              <a:custGeom>
                                <a:avLst/>
                                <a:gdLst/>
                                <a:ahLst/>
                                <a:cxnLst/>
                                <a:pathLst>
                                  <a:path w="1828" h="85">
                                    <a:moveTo>
                                      <a:pt x="0" y="84"/>
                                    </a:moveTo>
                                    <a:lnTo>
                                      <a:pt x="1828" y="84"/>
                                    </a:lnTo>
                                    <a:lnTo>
                                      <a:pt x="1828" y="0"/>
                                    </a:lnTo>
                                    <a:lnTo>
                                      <a:pt x="0" y="0"/>
                                    </a:lnTo>
                                    <a:lnTo>
                                      <a:pt x="0" y="84"/>
                                    </a:lnTo>
                                    <a:close/>
                                  </a:path>
                                </a:pathLst>
                              </a:custGeom>
                              <a:solidFill>
                                <a:srgbClr val="FFFFFF"/>
                              </a:solidFill>
                              <a:ln>
                                <a:noFill/>
                              </a:ln>
                            </wps:spPr>
                            <wps:bodyPr upright="1"/>
                          </wps:wsp>
                        </a:graphicData>
                      </a:graphic>
                    </wp:inline>
                  </w:drawing>
                </mc:Choice>
                <mc:Fallback>
                  <w:pict>
                    <v:shape id="_x0000_s1026" o:spid="_x0000_s1026" o:spt="100" style="height:4.25pt;width:91.45pt;" fillcolor="#FFFFFF" filled="t" stroked="f" coordsize="1828,85" o:gfxdata="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Uh+01AAAAAMBAAAPAAAAAAAA&#10;AAEAIAAAACIAAABkcnMvZG93bnJldi54bWxQSwECFAAUAAAACACHTuJAgNf4nhYCAAB/BAAADgAA&#10;AAAAAAABACAAAAAjAQAAZHJzL2Uyb0RvYy54bWxQSwUGAAAAAAYABgBZAQAAqwUAAAAA&#10;" path="m0,84l1828,84,1828,0,0,0,0,84xe">
                      <v:fill on="t" focussize="0,0"/>
                      <v:stroke on="f"/>
                      <v:imagedata o:title=""/>
                      <o:lock v:ext="edit" aspectratio="f"/>
                      <w10:wrap type="none"/>
                      <w10:anchorlock/>
                    </v:shape>
                  </w:pict>
                </mc:Fallback>
              </mc:AlternateContent>
            </w:r>
          </w:p>
          <w:p w14:paraId="579508B8">
            <w:pPr>
              <w:spacing w:before="112" w:line="216" w:lineRule="auto"/>
              <w:ind w:left="557"/>
              <w:rPr>
                <w:rFonts w:ascii="仿宋" w:hAnsi="仿宋" w:eastAsia="仿宋" w:cs="仿宋"/>
                <w:color w:val="auto"/>
                <w:sz w:val="24"/>
                <w:szCs w:val="24"/>
              </w:rPr>
            </w:pPr>
            <w:r>
              <w:rPr>
                <w:rFonts w:ascii="仿宋" w:hAnsi="仿宋" w:eastAsia="仿宋" w:cs="仿宋"/>
                <w:color w:val="auto"/>
                <w:spacing w:val="4"/>
                <w:sz w:val="24"/>
                <w:szCs w:val="24"/>
                <w14:textOutline w14:w="4356" w14:cap="flat" w14:cmpd="sng" w14:algn="ctr">
                  <w14:solidFill>
                    <w14:srgbClr w14:val="000000"/>
                  </w14:solidFill>
                  <w14:prstDash w14:val="solid"/>
                  <w14:miter w14:val="0"/>
                </w14:textOutline>
              </w:rPr>
              <w:t>开</w:t>
            </w:r>
            <w:r>
              <w:rPr>
                <w:rFonts w:ascii="仿宋" w:hAnsi="仿宋" w:eastAsia="仿宋" w:cs="仿宋"/>
                <w:color w:val="auto"/>
                <w:spacing w:val="2"/>
                <w:sz w:val="24"/>
                <w:szCs w:val="24"/>
                <w14:textOutline w14:w="4356" w14:cap="flat" w14:cmpd="sng" w14:algn="ctr">
                  <w14:solidFill>
                    <w14:srgbClr w14:val="000000"/>
                  </w14:solidFill>
                  <w14:prstDash w14:val="solid"/>
                  <w14:miter w14:val="0"/>
                </w14:textOutline>
              </w:rPr>
              <w:t>放性</w:t>
            </w:r>
          </w:p>
          <w:p w14:paraId="323CD7B2">
            <w:pPr>
              <w:spacing w:before="7" w:line="82" w:lineRule="exact"/>
              <w:ind w:firstLine="4"/>
              <w:textAlignment w:val="center"/>
              <w:rPr>
                <w:color w:val="auto"/>
              </w:rPr>
            </w:pPr>
            <w:r>
              <w:rPr>
                <w:color w:val="auto"/>
              </w:rPr>
              <mc:AlternateContent>
                <mc:Choice Requires="wps">
                  <w:drawing>
                    <wp:inline distT="0" distB="0" distL="114300" distR="114300">
                      <wp:extent cx="1161415" cy="52070"/>
                      <wp:effectExtent l="0" t="0" r="635" b="5080"/>
                      <wp:docPr id="21" name="任意多边形 21"/>
                      <wp:cNvGraphicFramePr/>
                      <a:graphic xmlns:a="http://schemas.openxmlformats.org/drawingml/2006/main">
                        <a:graphicData uri="http://schemas.microsoft.com/office/word/2010/wordprocessingShape">
                          <wps:wsp>
                            <wps:cNvSpPr/>
                            <wps:spPr>
                              <a:xfrm>
                                <a:off x="0" y="0"/>
                                <a:ext cx="1161415" cy="52070"/>
                              </a:xfrm>
                              <a:custGeom>
                                <a:avLst/>
                                <a:gdLst/>
                                <a:ahLst/>
                                <a:cxnLst/>
                                <a:pathLst>
                                  <a:path w="1828" h="81">
                                    <a:moveTo>
                                      <a:pt x="0" y="81"/>
                                    </a:moveTo>
                                    <a:lnTo>
                                      <a:pt x="1828" y="81"/>
                                    </a:lnTo>
                                    <a:lnTo>
                                      <a:pt x="1828" y="0"/>
                                    </a:lnTo>
                                    <a:lnTo>
                                      <a:pt x="0" y="0"/>
                                    </a:lnTo>
                                    <a:lnTo>
                                      <a:pt x="0" y="81"/>
                                    </a:lnTo>
                                    <a:close/>
                                  </a:path>
                                </a:pathLst>
                              </a:custGeom>
                              <a:solidFill>
                                <a:srgbClr val="FFFFFF"/>
                              </a:solidFill>
                              <a:ln>
                                <a:noFill/>
                              </a:ln>
                            </wps:spPr>
                            <wps:bodyPr upright="1"/>
                          </wps:wsp>
                        </a:graphicData>
                      </a:graphic>
                    </wp:inline>
                  </w:drawing>
                </mc:Choice>
                <mc:Fallback>
                  <w:pict>
                    <v:shape id="_x0000_s1026" o:spid="_x0000_s1026" o:spt="100" style="height:4.1pt;width:91.45pt;" fillcolor="#FFFFFF" filled="t" stroked="f" coordsize="1828,81" o:gfxdata="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zOzw0wAAAAMBAAAPAAAAAAAA&#10;AAEAIAAAACIAAABkcnMvZG93bnJldi54bWxQSwECFAAUAAAACACHTuJAeyyi6xcCAAB/BAAADgAA&#10;AAAAAAABACAAAAAiAQAAZHJzL2Uyb0RvYy54bWxQSwUGAAAAAAYABgBZAQAAqwUAAAAA&#10;" path="m0,81l1828,81,1828,0,0,0,0,81xe">
                      <v:fill on="t" focussize="0,0"/>
                      <v:stroke on="f"/>
                      <v:imagedata o:title=""/>
                      <o:lock v:ext="edit" aspectratio="f"/>
                      <w10:wrap type="none"/>
                      <w10:anchorlock/>
                    </v:shape>
                  </w:pict>
                </mc:Fallback>
              </mc:AlternateContent>
            </w:r>
          </w:p>
        </w:tc>
        <w:tc>
          <w:tcPr>
            <w:tcW w:w="7095" w:type="dxa"/>
            <w:gridSpan w:val="3"/>
          </w:tcPr>
          <w:p w14:paraId="708C8032">
            <w:pPr>
              <w:spacing w:before="113" w:line="308" w:lineRule="auto"/>
              <w:ind w:left="35" w:right="33" w:firstLine="8"/>
              <w:rPr>
                <w:rFonts w:ascii="仿宋" w:hAnsi="仿宋" w:eastAsia="仿宋" w:cs="仿宋"/>
                <w:color w:val="auto"/>
                <w:spacing w:val="11"/>
                <w:sz w:val="24"/>
                <w:szCs w:val="24"/>
              </w:rPr>
            </w:pPr>
            <w:r>
              <w:rPr>
                <w:rFonts w:ascii="仿宋" w:hAnsi="仿宋" w:eastAsia="仿宋" w:cs="仿宋"/>
                <w:color w:val="auto"/>
                <w:spacing w:val="11"/>
                <w:sz w:val="24"/>
                <w:szCs w:val="24"/>
              </w:rPr>
              <w:t>面向其他高校或者社会学习者具有较好的推广应用价值。</w:t>
            </w:r>
          </w:p>
        </w:tc>
      </w:tr>
    </w:tbl>
    <w:p w14:paraId="1BB33580">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cs="Times New Roman"/>
          <w:b/>
          <w:bCs/>
          <w:color w:val="auto"/>
          <w:kern w:val="2"/>
          <w:sz w:val="28"/>
          <w:szCs w:val="28"/>
          <w:lang w:val="en-US" w:eastAsia="zh-CN" w:bidi="ar-SA"/>
        </w:rPr>
      </w:pPr>
      <w:bookmarkStart w:id="46" w:name="_Toc4020"/>
      <w:bookmarkStart w:id="47" w:name="_Toc117584312"/>
      <w:bookmarkStart w:id="48" w:name="_Toc147652333"/>
      <w:bookmarkStart w:id="49" w:name="_Toc16356"/>
      <w:r>
        <w:rPr>
          <w:rFonts w:hint="eastAsia" w:ascii="宋体" w:hAnsi="宋体" w:cs="Times New Roman"/>
          <w:b/>
          <w:bCs/>
          <w:color w:val="auto"/>
          <w:kern w:val="2"/>
          <w:sz w:val="28"/>
          <w:szCs w:val="28"/>
          <w:lang w:val="en-US" w:eastAsia="zh-CN" w:bidi="ar-SA"/>
        </w:rPr>
        <w:t>2.4虚拟仿真实验教学课程</w:t>
      </w:r>
      <w:bookmarkEnd w:id="46"/>
      <w:bookmarkEnd w:id="47"/>
      <w:bookmarkEnd w:id="48"/>
      <w:bookmarkEnd w:id="49"/>
    </w:p>
    <w:p w14:paraId="5100E819">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建设目标：</w:t>
      </w:r>
    </w:p>
    <w:p w14:paraId="189F2A50">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以提高学生实践能力和创新精神为核心，以现代信息技术为依托，以相关专业类急需的实验教学信息化内容为指向，以完整的实验教学项目为基础；采取先建设应用、后评价认定、持续监测评估的方式，建设一批示范性虚拟仿真实验教学项目。</w:t>
      </w:r>
    </w:p>
    <w:p w14:paraId="56727852">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6781105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1.申报课程应为我校开展实验教学的基本单元，符合虚拟仿真实验教学项目要求。</w:t>
      </w:r>
    </w:p>
    <w:p w14:paraId="7FA887E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2.课程负责人须为具有讲师及以上职称或博士学位的教师，从事该实践项目教学3年及以上，团队主要成员须为教务系统显示授课教师。</w:t>
      </w:r>
    </w:p>
    <w:p w14:paraId="07CCC681">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3.要承诺申报材料的真实性，引用的课程资源要注明来源，上网内容不侵犯他人的知识产权。</w:t>
      </w:r>
    </w:p>
    <w:p w14:paraId="54B365FB">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2007F7FC">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验收标准：</w:t>
      </w:r>
      <w:r>
        <w:rPr>
          <w:rFonts w:hint="eastAsia"/>
          <w:color w:val="auto"/>
          <w:sz w:val="24"/>
          <w:szCs w:val="24"/>
          <w:lang w:val="en-US" w:eastAsia="zh-CN"/>
        </w:rPr>
        <w:t>通过课程建设，在项目结项时需达到省级一流课程标准，或达到国家级一流课程标准。</w:t>
      </w:r>
    </w:p>
    <w:p w14:paraId="0B49AFCE">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视频资源。视频内容应重点介绍实验教学项目的基本情况，包括实验名称、实验目的、实验环境、实验内容、实验要求、实验方法、实验步骤、实验注意事项等，实现对所申报实验项目的真实反映，激发使用者的参与愿望。建有3分钟以内的项目简介视频和5-8分钟的教学引导视频。要求画面清晰、图像稳定，声音与画面同步且无杂音。如有解说应采用标准普通话配音。分辨率：1920*1080 25P或以上；编码：H.264，H.264/AVC High Profile Level 4.2或以上；封装格式：MP4；码流：不小于 5Mbps。音频和字幕要求。音频格式：混合立体声；编码：AAC、MP3；码流：不低于 128kbps，采样率 48000Hz。字幕直接压制在介质上。</w:t>
      </w:r>
    </w:p>
    <w:p w14:paraId="0FE96CE0">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2.坚持“能实不虚”，支撑学生综合能力培养，至少满足 2个课时的实验教学需求，学生实际参与的交互性实验操作步骤须不少于10步。</w:t>
      </w:r>
    </w:p>
    <w:p w14:paraId="6FFF640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3.建设内容确保符合相关知识产权法律法规，可以完全对外公开服务。</w:t>
      </w:r>
    </w:p>
    <w:p w14:paraId="4156679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4.依托网络平台，提供有效链接网址应直接指向实验项目，且保持链接畅通；应确保所承诺的并发数以内网络实验请求及时响应和对超过并发数的实验请求提供排队提示服务。</w:t>
      </w:r>
    </w:p>
    <w:p w14:paraId="332A42F0">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5.学院应确保项目结题后5年内，面向全省高校和社会免费开放并提供教学服务。</w:t>
      </w:r>
    </w:p>
    <w:p w14:paraId="09473128">
      <w:pPr>
        <w:pageBreakBefore w:val="0"/>
        <w:kinsoku/>
        <w:wordWrap/>
        <w:overflowPunct/>
        <w:topLinePunct w:val="0"/>
        <w:autoSpaceDE/>
        <w:autoSpaceDN/>
        <w:bidi w:val="0"/>
        <w:snapToGrid/>
        <w:spacing w:line="360" w:lineRule="auto"/>
        <w:textAlignment w:val="auto"/>
        <w:rPr>
          <w:rFonts w:hint="eastAsia" w:ascii="仿宋" w:hAnsi="仿宋" w:eastAsia="仿宋"/>
          <w:b/>
          <w:color w:val="auto"/>
          <w:kern w:val="0"/>
          <w:sz w:val="36"/>
          <w:szCs w:val="36"/>
          <w:lang w:val="en-US" w:eastAsia="zh-CN"/>
        </w:rPr>
      </w:pPr>
    </w:p>
    <w:p w14:paraId="73D5ADB4">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cs="Times New Roman"/>
          <w:b/>
          <w:bCs/>
          <w:color w:val="auto"/>
          <w:kern w:val="2"/>
          <w:sz w:val="28"/>
          <w:szCs w:val="28"/>
          <w:lang w:val="en-US" w:eastAsia="zh-CN" w:bidi="ar-SA"/>
        </w:rPr>
      </w:pPr>
      <w:r>
        <w:rPr>
          <w:rFonts w:hint="eastAsia" w:ascii="宋体" w:hAnsi="宋体" w:cs="Times New Roman"/>
          <w:b/>
          <w:bCs/>
          <w:color w:val="auto"/>
          <w:kern w:val="2"/>
          <w:sz w:val="28"/>
          <w:szCs w:val="28"/>
          <w:lang w:val="en-US" w:eastAsia="zh-CN" w:bidi="ar-SA"/>
        </w:rPr>
        <w:t>2.5人工智能课程</w:t>
      </w:r>
    </w:p>
    <w:p w14:paraId="1C77759D">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建设目标：</w:t>
      </w:r>
      <w:r>
        <w:rPr>
          <w:rFonts w:hint="eastAsia"/>
          <w:color w:val="auto"/>
          <w:sz w:val="24"/>
          <w:szCs w:val="24"/>
          <w:lang w:val="en-US" w:eastAsia="zh-CN"/>
        </w:rPr>
        <w:t>为深入贯彻国家关于推进教育现代化的战略部署，全面落实《中国教育现代化2035》文件精神，加快人工智能在教育教学领域的创新应用，以人工智能技术为支撑，深化课程教学改革，探索新型教学模式和未来学习方式，提升数字人才培养能力，推进本科教育教学改革，以数字赋能本科课程建设。</w:t>
      </w:r>
    </w:p>
    <w:p w14:paraId="77AA0B99">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0A13C673">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申报课程应为纳入我校本科人才培养方案中的课程，并至少经过2个学期或2个教学周期的建设和完善。鼓励受众面广需求量大的公共基础课、专业基础课、专业核心课程申报。课程负责人须为具有讲师及以上职称或博士学位的教师。</w:t>
      </w:r>
    </w:p>
    <w:p w14:paraId="2BBFDDFC">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能够利用人工智能技术支撑课程教学创新，通过大模型、大数据及虚拟技术等对教学设计与教学内容、教学场景与教学资源、教学模式与学习方式、学情分析与教学评价等进行改革创新，全方位提升课程教学质量，为学生提供更加灵活、个性化的学习体验。主要包括（但不限于）以下方面：</w:t>
      </w:r>
    </w:p>
    <w:p w14:paraId="66842060">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人工智能赋能课程建设：应用人工智能技术，更新教学理念与教学内容，辅助课程教学组织设计，优化教学备课方式，整合包括微视频、在线开放课程、虚拟仿真实验项目、文献资料等媒体教学资源，与数字化教材等改革工作联动推进，提升学生学习体验。</w:t>
      </w:r>
    </w:p>
    <w:p w14:paraId="0101ABD5">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人工智能赋能课程教学：应用人工智能技术，创新课堂教学模式，服务研讨式、问题驱动式、项目式等教学方式实施。研究基于人工智能的课程教学考核评价办法和学习效果评估标准，利用人工智能工具自动评估学生的作业、考试和其他学习成果成效。</w:t>
      </w:r>
    </w:p>
    <w:p w14:paraId="6960A98C">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3）人工智能赋能学生学习支持：应用人工智能技术，引入智能助教等，为学生提供实时的交互式学习和练习环境、个性化学习建议和难点解析，引导学生批判性、验证性、对照性地运用人工智能生成的结果。根据学生的学习进度和兴趣，智能推荐相应的教学资源，促进自主学习，提高解决复杂问题的能力。</w:t>
      </w:r>
    </w:p>
    <w:p w14:paraId="1D6F4AD9">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4）人工智能赋能教学评价和学情分析：利用大数据、大模型等对学生学习行为和表现进行实时监测和分析，进行实时的学习体验调查，提供及时的学情分析和教学评价反馈，更好地了解学生需求、优化教学方法、调整教学策略。</w:t>
      </w:r>
    </w:p>
    <w:p w14:paraId="6F66D5B0">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3.鼓励以下课程积极申报并优先推荐：</w:t>
      </w:r>
    </w:p>
    <w:p w14:paraId="26D3E7A4">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1）鼓励入选国家级一流专业建设点的专业核心课程以及通识教育必修课程申报；（2）鼓励已经获得一流本科课程的课程可以在原来基础上持续开展课程建设；（3）鼓励已经建成线上课程（包括MOOC和SPOC）课程可以在原来基础上升级建设。</w:t>
      </w:r>
    </w:p>
    <w:p w14:paraId="743A19A6">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建设周期：1年</w:t>
      </w:r>
    </w:p>
    <w:p w14:paraId="04DF0E61">
      <w:pPr>
        <w:pageBreakBefore w:val="0"/>
        <w:widowControl/>
        <w:kinsoku/>
        <w:wordWrap/>
        <w:overflowPunct/>
        <w:topLinePunct w:val="0"/>
        <w:autoSpaceDE/>
        <w:autoSpaceDN/>
        <w:bidi w:val="0"/>
        <w:adjustRightInd w:val="0"/>
        <w:snapToGrid/>
        <w:spacing w:line="360" w:lineRule="auto"/>
        <w:ind w:firstLine="482" w:firstLineChars="200"/>
        <w:textAlignment w:val="auto"/>
        <w:rPr>
          <w:color w:val="auto"/>
        </w:rPr>
      </w:pPr>
      <w:r>
        <w:rPr>
          <w:rFonts w:hint="eastAsia" w:ascii="宋体" w:hAnsi="宋体" w:eastAsia="宋体" w:cs="宋体"/>
          <w:b/>
          <w:bCs/>
          <w:color w:val="auto"/>
          <w:kern w:val="0"/>
          <w:sz w:val="24"/>
          <w:szCs w:val="44"/>
          <w:lang w:val="en-US" w:eastAsia="zh-CN"/>
        </w:rPr>
        <w:t>验收标准：</w:t>
      </w:r>
      <w:r>
        <w:rPr>
          <w:rFonts w:hint="eastAsia"/>
          <w:color w:val="auto"/>
          <w:sz w:val="24"/>
          <w:szCs w:val="24"/>
          <w:lang w:val="en-US" w:eastAsia="zh-CN"/>
        </w:rPr>
        <w:t>项目结项须提交结题报告</w:t>
      </w:r>
      <w:r>
        <w:rPr>
          <w:rFonts w:hint="default"/>
          <w:color w:val="auto"/>
          <w:sz w:val="24"/>
          <w:szCs w:val="24"/>
          <w:lang w:val="en-US" w:eastAsia="zh-CN"/>
        </w:rPr>
        <w:t>1</w:t>
      </w:r>
      <w:r>
        <w:rPr>
          <w:rFonts w:hint="eastAsia"/>
          <w:color w:val="auto"/>
          <w:sz w:val="24"/>
          <w:szCs w:val="24"/>
          <w:lang w:val="en-US" w:eastAsia="zh-CN"/>
        </w:rPr>
        <w:t>份，包括人工智能技术在课程中的应用、课程的教学设计改进、课程实施效果等，形成至少一节示范课堂和一个人工智能应用场景下的典型案例，鼓励通过文字、图片、音视频等多种方式进行总结呈现</w:t>
      </w:r>
      <w:r>
        <w:rPr>
          <w:rFonts w:hint="eastAsia" w:ascii="微软雅黑" w:hAnsi="微软雅黑" w:eastAsia="微软雅黑" w:cs="微软雅黑"/>
          <w:color w:val="auto"/>
          <w:kern w:val="0"/>
          <w:sz w:val="23"/>
          <w:szCs w:val="23"/>
          <w:lang w:val="en-US" w:eastAsia="zh-CN" w:bidi="ar"/>
        </w:rPr>
        <w:t xml:space="preserve">。 </w:t>
      </w:r>
    </w:p>
    <w:p w14:paraId="686699AB">
      <w:pPr>
        <w:rPr>
          <w:rFonts w:hint="eastAsia"/>
          <w:color w:val="auto"/>
          <w:lang w:val="en-US" w:eastAsia="zh-CN"/>
        </w:rPr>
      </w:pPr>
    </w:p>
    <w:p w14:paraId="3549EEF7">
      <w:pPr>
        <w:pStyle w:val="2"/>
        <w:pageBreakBefore w:val="0"/>
        <w:kinsoku/>
        <w:wordWrap/>
        <w:overflowPunct/>
        <w:topLinePunct w:val="0"/>
        <w:autoSpaceDE/>
        <w:autoSpaceDN/>
        <w:bidi w:val="0"/>
        <w:snapToGrid/>
        <w:spacing w:line="360" w:lineRule="auto"/>
        <w:textAlignment w:val="auto"/>
        <w:rPr>
          <w:rFonts w:hint="eastAsia" w:ascii="仿宋" w:hAnsi="仿宋" w:eastAsia="仿宋"/>
          <w:b/>
          <w:color w:val="auto"/>
          <w:kern w:val="0"/>
          <w:sz w:val="36"/>
          <w:szCs w:val="36"/>
        </w:rPr>
      </w:pPr>
      <w:r>
        <w:rPr>
          <w:rFonts w:hint="eastAsia" w:ascii="仿宋" w:hAnsi="仿宋" w:eastAsia="仿宋"/>
          <w:b/>
          <w:color w:val="auto"/>
          <w:kern w:val="0"/>
          <w:sz w:val="36"/>
          <w:szCs w:val="36"/>
          <w:lang w:val="en-US" w:eastAsia="zh-CN"/>
        </w:rPr>
        <w:t xml:space="preserve">3 </w:t>
      </w:r>
      <w:r>
        <w:rPr>
          <w:rFonts w:hint="eastAsia" w:ascii="仿宋" w:hAnsi="仿宋" w:eastAsia="仿宋"/>
          <w:b/>
          <w:color w:val="auto"/>
          <w:kern w:val="0"/>
          <w:sz w:val="36"/>
          <w:szCs w:val="36"/>
        </w:rPr>
        <w:tab/>
      </w:r>
      <w:r>
        <w:rPr>
          <w:rFonts w:hint="eastAsia" w:ascii="仿宋" w:hAnsi="仿宋" w:eastAsia="仿宋"/>
          <w:b/>
          <w:color w:val="auto"/>
          <w:kern w:val="0"/>
          <w:sz w:val="36"/>
          <w:szCs w:val="36"/>
        </w:rPr>
        <w:t>教学成果奖</w:t>
      </w:r>
    </w:p>
    <w:p w14:paraId="27989485">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cs="宋体"/>
          <w:b/>
          <w:bCs/>
          <w:color w:val="auto"/>
          <w:kern w:val="0"/>
          <w:sz w:val="24"/>
          <w:szCs w:val="44"/>
          <w:lang w:val="en-US" w:eastAsia="zh-CN"/>
        </w:rPr>
        <w:t>申报</w:t>
      </w:r>
      <w:r>
        <w:rPr>
          <w:rFonts w:hint="eastAsia" w:ascii="宋体" w:hAnsi="宋体" w:eastAsia="宋体" w:cs="宋体"/>
          <w:b/>
          <w:bCs/>
          <w:color w:val="auto"/>
          <w:kern w:val="0"/>
          <w:sz w:val="24"/>
          <w:szCs w:val="44"/>
          <w:lang w:val="en-US" w:eastAsia="zh-CN"/>
        </w:rPr>
        <w:t>范围：</w:t>
      </w:r>
    </w:p>
    <w:p w14:paraId="623A6169">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rPr>
        <w:t>1.在转变教育思想和教育观念、构建“大思政”育人格局、加强卓越拔尖人才培养、深化新工科新医科新农科新文科建设、深化创新创业教育改革、推进高等教育教学数字化、加强教师教育、提高教师教学能力、深化教育教学评价改革等方面取得的成果。</w:t>
      </w:r>
    </w:p>
    <w:p w14:paraId="43D9863D">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rPr>
        <w:t>2.在组织教学工作、推动教学及教学管理改革、加强教学基本建设、开展教学质量与教学改革工程建设、建立自我约束和自我发展机制、实现教学管理现代化等方面取得的成果。</w:t>
      </w:r>
    </w:p>
    <w:p w14:paraId="4F6E1A6F">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rPr>
        <w:t>3.推广应用已有的教学成果，在实践中进一步创新并取得突破性进展，显著提高教学效益和人才培养质量等方面取得的成果。</w:t>
      </w:r>
    </w:p>
    <w:p w14:paraId="0C839C03">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0"/>
          <w:sz w:val="24"/>
          <w:szCs w:val="40"/>
          <w:lang w:bidi="ar"/>
        </w:rPr>
      </w:pPr>
      <w:r>
        <w:rPr>
          <w:rFonts w:hint="eastAsia" w:ascii="宋体" w:hAnsi="宋体"/>
          <w:color w:val="auto"/>
          <w:sz w:val="24"/>
        </w:rPr>
        <w:t>4.其它在教学改革方面迈出重要改革步伐并取得显著成绩的成果</w:t>
      </w:r>
      <w:r>
        <w:rPr>
          <w:rFonts w:hint="eastAsia" w:ascii="宋体" w:hAnsi="宋体"/>
          <w:color w:val="auto"/>
          <w:sz w:val="24"/>
          <w:lang w:eastAsia="zh-CN"/>
        </w:rPr>
        <w:t>，</w:t>
      </w:r>
      <w:r>
        <w:rPr>
          <w:rFonts w:hint="eastAsia" w:ascii="宋体" w:hAnsi="宋体" w:eastAsia="宋体" w:cs="宋体"/>
          <w:color w:val="auto"/>
          <w:kern w:val="0"/>
          <w:sz w:val="24"/>
          <w:szCs w:val="40"/>
          <w:lang w:bidi="ar"/>
        </w:rPr>
        <w:t>代表建设高质量本科教育、深化本科教育教学改革的方向。</w:t>
      </w:r>
    </w:p>
    <w:p w14:paraId="62288049">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38C5F28E">
      <w:pPr>
        <w:pageBreakBefore w:val="0"/>
        <w:widowControl/>
        <w:shd w:val="clear" w:color="auto" w:fill="FFFFFF"/>
        <w:kinsoku/>
        <w:wordWrap/>
        <w:overflowPunct/>
        <w:topLinePunct w:val="0"/>
        <w:autoSpaceDE/>
        <w:autoSpaceDN/>
        <w:bidi w:val="0"/>
        <w:snapToGrid/>
        <w:spacing w:line="360" w:lineRule="auto"/>
        <w:ind w:firstLine="640"/>
        <w:jc w:val="left"/>
        <w:textAlignment w:val="auto"/>
        <w:rPr>
          <w:rFonts w:ascii="宋体" w:hAnsi="宋体"/>
          <w:b w:val="0"/>
          <w:bCs w:val="0"/>
          <w:color w:val="auto"/>
          <w:sz w:val="24"/>
        </w:rPr>
      </w:pPr>
      <w:r>
        <w:rPr>
          <w:rFonts w:hint="eastAsia" w:ascii="宋体" w:hAnsi="宋体"/>
          <w:b w:val="0"/>
          <w:bCs w:val="0"/>
          <w:color w:val="auto"/>
          <w:sz w:val="24"/>
        </w:rPr>
        <w:t>（一）成果条件</w:t>
      </w:r>
    </w:p>
    <w:p w14:paraId="1AC4FEFE">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教学成果应为近三年内完成，符合党的教育方针、政策和教育部、省有关文件规定，并经过两年以上教育教学实践检验。实践检验的起始时间从正式实施（包括正式试行）教育教学方案起开始计算，不含研讨、论证及制定方案的时间，截至教学成果奖申报的时间。</w:t>
      </w:r>
    </w:p>
    <w:p w14:paraId="3AB24C33">
      <w:pPr>
        <w:pageBreakBefore w:val="0"/>
        <w:widowControl/>
        <w:shd w:val="clear" w:color="auto" w:fill="FFFFFF"/>
        <w:kinsoku/>
        <w:wordWrap/>
        <w:overflowPunct/>
        <w:topLinePunct w:val="0"/>
        <w:autoSpaceDE/>
        <w:autoSpaceDN/>
        <w:bidi w:val="0"/>
        <w:snapToGrid/>
        <w:spacing w:line="360" w:lineRule="auto"/>
        <w:ind w:firstLine="640"/>
        <w:jc w:val="left"/>
        <w:textAlignment w:val="auto"/>
        <w:rPr>
          <w:rFonts w:ascii="宋体" w:hAnsi="宋体"/>
          <w:b w:val="0"/>
          <w:bCs w:val="0"/>
          <w:color w:val="auto"/>
          <w:sz w:val="24"/>
        </w:rPr>
      </w:pPr>
      <w:r>
        <w:rPr>
          <w:rFonts w:hint="eastAsia" w:ascii="宋体" w:hAnsi="宋体"/>
          <w:b w:val="0"/>
          <w:bCs w:val="0"/>
          <w:color w:val="auto"/>
          <w:sz w:val="24"/>
        </w:rPr>
        <w:t>（二）成果完成人条件</w:t>
      </w:r>
    </w:p>
    <w:p w14:paraId="43E0F5B7">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rPr>
        <w:t>1.遵纪守法，具有良好的思想品德和教风学风，忠诚于人民的教育事业，为人师表。</w:t>
      </w:r>
    </w:p>
    <w:p w14:paraId="7BCCBBBC">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2.承担教学工作（包括教学管理、教学研究和教学辅助工作），并有连续三年以上教学工作经历。</w:t>
      </w:r>
    </w:p>
    <w:p w14:paraId="0A2BCBA3">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3.参与成果的方案设计、论证、研究和实施全过程，并做出突出贡献。</w:t>
      </w:r>
    </w:p>
    <w:p w14:paraId="21CA0702">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4.每项成果的完成人不超过7人。</w:t>
      </w:r>
    </w:p>
    <w:p w14:paraId="70231842">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b w:val="0"/>
          <w:bCs w:val="0"/>
          <w:color w:val="auto"/>
          <w:sz w:val="24"/>
        </w:rPr>
      </w:pPr>
      <w:r>
        <w:rPr>
          <w:rFonts w:hint="eastAsia" w:ascii="宋体" w:hAnsi="宋体"/>
          <w:b w:val="0"/>
          <w:bCs w:val="0"/>
          <w:color w:val="auto"/>
          <w:sz w:val="24"/>
        </w:rPr>
        <w:t>（三）其它要求</w:t>
      </w:r>
    </w:p>
    <w:p w14:paraId="5E54BC97">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ascii="宋体" w:hAnsi="宋体"/>
          <w:b/>
          <w:bCs/>
          <w:color w:val="auto"/>
          <w:sz w:val="24"/>
        </w:rPr>
      </w:pPr>
      <w:r>
        <w:rPr>
          <w:rFonts w:hint="eastAsia" w:ascii="宋体" w:hAnsi="宋体"/>
          <w:color w:val="auto"/>
          <w:sz w:val="24"/>
        </w:rPr>
        <w:t>1.依托各级各类本科教学工程项目所申报的成果，相应项目应按照有关规定和程序结题，</w:t>
      </w:r>
      <w:r>
        <w:rPr>
          <w:rFonts w:hint="eastAsia" w:ascii="宋体" w:hAnsi="宋体"/>
          <w:b/>
          <w:bCs/>
          <w:color w:val="auto"/>
          <w:sz w:val="24"/>
        </w:rPr>
        <w:t>未予结题的项目不得申报。</w:t>
      </w:r>
    </w:p>
    <w:p w14:paraId="4600C505">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.各奖项的成果完成人应切实参与教育教学研究、改革与建设，在过程中发挥不同程度作用并取得实质性成果。</w:t>
      </w:r>
    </w:p>
    <w:p w14:paraId="042A371C">
      <w:pPr>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olor w:val="auto"/>
          <w:sz w:val="24"/>
          <w:lang w:val="en-US" w:eastAsia="zh-CN"/>
        </w:rPr>
      </w:pPr>
      <w:r>
        <w:rPr>
          <w:rFonts w:hint="eastAsia" w:ascii="宋体" w:hAnsi="宋体"/>
          <w:color w:val="auto"/>
          <w:sz w:val="24"/>
          <w:lang w:val="en-US" w:eastAsia="zh-CN"/>
        </w:rPr>
        <w:t>3.申报校级教学成果奖励时，已获得省级和校级教学成果奖励的项目，不予重复申报。</w:t>
      </w:r>
    </w:p>
    <w:p w14:paraId="7C205832">
      <w:pPr>
        <w:pageBreakBefore w:val="0"/>
        <w:widowControl/>
        <w:kinsoku/>
        <w:wordWrap/>
        <w:overflowPunct/>
        <w:topLinePunct w:val="0"/>
        <w:autoSpaceDE/>
        <w:autoSpaceDN/>
        <w:bidi w:val="0"/>
        <w:adjustRightInd w:val="0"/>
        <w:snapToGrid/>
        <w:spacing w:line="360" w:lineRule="auto"/>
        <w:textAlignment w:val="auto"/>
        <w:rPr>
          <w:rFonts w:hint="default" w:ascii="宋体" w:hAnsi="宋体" w:eastAsia="宋体"/>
          <w:color w:val="auto"/>
          <w:sz w:val="36"/>
          <w:szCs w:val="36"/>
          <w:lang w:val="en-US" w:eastAsia="zh-CN"/>
        </w:rPr>
      </w:pPr>
      <w:r>
        <w:rPr>
          <w:rFonts w:hint="eastAsia" w:ascii="宋体" w:hAnsi="宋体"/>
          <w:color w:val="auto"/>
          <w:sz w:val="36"/>
          <w:szCs w:val="36"/>
          <w:lang w:val="en-US" w:eastAsia="zh-CN"/>
        </w:rPr>
        <w:t xml:space="preserve">   </w:t>
      </w:r>
    </w:p>
    <w:p w14:paraId="731030F0">
      <w:pPr>
        <w:pageBreakBefore w:val="0"/>
        <w:numPr>
          <w:ilvl w:val="0"/>
          <w:numId w:val="0"/>
        </w:numPr>
        <w:kinsoku/>
        <w:wordWrap/>
        <w:overflowPunct/>
        <w:topLinePunct w:val="0"/>
        <w:autoSpaceDE/>
        <w:autoSpaceDN/>
        <w:bidi w:val="0"/>
        <w:snapToGrid/>
        <w:spacing w:line="360" w:lineRule="auto"/>
        <w:textAlignment w:val="auto"/>
        <w:rPr>
          <w:rFonts w:hint="eastAsia" w:ascii="宋体" w:hAnsi="宋体" w:cs="Times New Roman"/>
          <w:b/>
          <w:bCs/>
          <w:color w:val="auto"/>
          <w:kern w:val="2"/>
          <w:sz w:val="28"/>
          <w:szCs w:val="28"/>
          <w:lang w:val="en-US" w:eastAsia="zh-CN" w:bidi="ar-SA"/>
        </w:rPr>
      </w:pPr>
      <w:r>
        <w:rPr>
          <w:rFonts w:hint="eastAsia" w:ascii="仿宋" w:hAnsi="仿宋" w:eastAsia="仿宋"/>
          <w:b/>
          <w:color w:val="auto"/>
          <w:kern w:val="0"/>
          <w:sz w:val="36"/>
          <w:szCs w:val="36"/>
          <w:lang w:val="en-US" w:eastAsia="zh-CN"/>
        </w:rPr>
        <w:t>4  课程思政类项目</w:t>
      </w:r>
    </w:p>
    <w:p w14:paraId="7159B8B7">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cs="Times New Roman"/>
          <w:b/>
          <w:bCs/>
          <w:color w:val="auto"/>
          <w:kern w:val="2"/>
          <w:sz w:val="28"/>
          <w:szCs w:val="28"/>
          <w:lang w:val="en-US" w:eastAsia="zh-CN" w:bidi="ar-SA"/>
        </w:rPr>
        <w:t>4</w:t>
      </w:r>
      <w:r>
        <w:rPr>
          <w:rFonts w:hint="eastAsia" w:ascii="宋体" w:hAnsi="宋体" w:eastAsia="宋体" w:cs="Times New Roman"/>
          <w:b/>
          <w:bCs/>
          <w:color w:val="auto"/>
          <w:kern w:val="2"/>
          <w:sz w:val="28"/>
          <w:szCs w:val="28"/>
          <w:lang w:val="en-US" w:eastAsia="zh-CN" w:bidi="ar-SA"/>
        </w:rPr>
        <w:t>.1</w:t>
      </w:r>
      <w:r>
        <w:rPr>
          <w:rFonts w:hint="eastAsia" w:ascii="宋体" w:hAnsi="宋体" w:cs="Times New Roman"/>
          <w:b/>
          <w:bCs/>
          <w:color w:val="auto"/>
          <w:kern w:val="2"/>
          <w:sz w:val="28"/>
          <w:szCs w:val="28"/>
          <w:lang w:val="en-US" w:eastAsia="zh-CN" w:bidi="ar-SA"/>
        </w:rPr>
        <w:t xml:space="preserve"> </w:t>
      </w:r>
      <w:r>
        <w:rPr>
          <w:rFonts w:hint="eastAsia" w:ascii="宋体" w:hAnsi="宋体" w:eastAsia="宋体" w:cs="Times New Roman"/>
          <w:b/>
          <w:bCs/>
          <w:color w:val="auto"/>
          <w:kern w:val="2"/>
          <w:sz w:val="28"/>
          <w:szCs w:val="28"/>
          <w:lang w:val="en-US" w:eastAsia="zh-CN" w:bidi="ar-SA"/>
        </w:rPr>
        <w:t>课程思政典型案例</w:t>
      </w:r>
    </w:p>
    <w:p w14:paraId="366CBD15">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color w:val="auto"/>
          <w:sz w:val="24"/>
          <w:szCs w:val="24"/>
          <w:highlight w:val="none"/>
        </w:rPr>
      </w:pPr>
      <w:r>
        <w:rPr>
          <w:rFonts w:hint="eastAsia"/>
          <w:b/>
          <w:bCs/>
          <w:color w:val="auto"/>
          <w:sz w:val="24"/>
          <w:szCs w:val="24"/>
          <w:lang w:val="en-US" w:eastAsia="zh-CN"/>
        </w:rPr>
        <w:t>建设目标：</w:t>
      </w:r>
      <w:r>
        <w:rPr>
          <w:rFonts w:hint="eastAsia"/>
          <w:color w:val="auto"/>
          <w:sz w:val="24"/>
          <w:szCs w:val="24"/>
        </w:rPr>
        <w:t>为更好地深入贯彻落实习近平总书记关于教育的重要论述和全国教育大会精神，贯彻落实教育部《高等学校课程思政建设指导纲要》，全面推进课程思政建设，深入挖掘课程中蕴涵的思政元素，融入课程教学中，将思想政治教育引领贯穿于教育教学全过程，实现价值性和知识性的统一，达到专业知识与育人元素深度融合，实现立德树人的目标。</w:t>
      </w:r>
      <w:r>
        <w:rPr>
          <w:rFonts w:hint="eastAsia"/>
          <w:color w:val="auto"/>
          <w:sz w:val="24"/>
          <w:szCs w:val="24"/>
          <w:lang w:val="en-US" w:eastAsia="zh-CN"/>
        </w:rPr>
        <w:t>遴选一批课程思政教学典型案例，要求具有较强的针对性、时效性、创新性、示范性和可推广性。</w:t>
      </w:r>
    </w:p>
    <w:p w14:paraId="071BA5EA">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69EDDBD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rPr>
      </w:pPr>
      <w:r>
        <w:rPr>
          <w:rFonts w:hint="eastAsia"/>
          <w:color w:val="auto"/>
          <w:sz w:val="24"/>
          <w:szCs w:val="24"/>
          <w:lang w:val="en-US" w:eastAsia="zh-CN"/>
        </w:rPr>
        <w:t>1.突出价值引领。</w:t>
      </w:r>
      <w:r>
        <w:rPr>
          <w:rFonts w:hint="eastAsia"/>
          <w:color w:val="auto"/>
          <w:sz w:val="24"/>
          <w:szCs w:val="24"/>
        </w:rPr>
        <w:t>申报教师要深入挖掘提炼课程中所蕴含的思政元素和承载的思政功能，在教学理念、教学思路、内容形式、方法手段、考核评价方式等方面积极创新，实现思政元素与课程教学的深度融合，提升课程育人效果。</w:t>
      </w:r>
    </w:p>
    <w:p w14:paraId="6145B9A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rPr>
      </w:pPr>
      <w:r>
        <w:rPr>
          <w:rFonts w:hint="eastAsia"/>
          <w:color w:val="auto"/>
          <w:sz w:val="24"/>
          <w:szCs w:val="24"/>
          <w:lang w:val="en-US" w:eastAsia="zh-CN"/>
        </w:rPr>
        <w:t>2.</w:t>
      </w:r>
      <w:r>
        <w:rPr>
          <w:rFonts w:hint="eastAsia"/>
          <w:color w:val="auto"/>
          <w:sz w:val="24"/>
          <w:szCs w:val="24"/>
        </w:rPr>
        <w:t>体现“学生中心”的教育理念，课程教学注重价值引领，体现高阶性、创新性和挑战度。教学设计符合学生认知发展规律，教学目标明确合理。</w:t>
      </w:r>
    </w:p>
    <w:p w14:paraId="45A1E17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rPr>
      </w:pPr>
      <w:r>
        <w:rPr>
          <w:rFonts w:hint="eastAsia"/>
          <w:color w:val="auto"/>
          <w:sz w:val="24"/>
          <w:szCs w:val="24"/>
          <w:lang w:val="en-US" w:eastAsia="zh-CN"/>
        </w:rPr>
        <w:t>3.</w:t>
      </w:r>
      <w:r>
        <w:rPr>
          <w:rFonts w:hint="eastAsia"/>
          <w:color w:val="auto"/>
          <w:sz w:val="24"/>
          <w:szCs w:val="24"/>
        </w:rPr>
        <w:t>案例内容完整规范。参评案例应围绕课程教学中某一章节、教学环节或知识点展开，政治方向正确，课程思政教学目标明确，具有较强的针对性、时效性、创新性、示范性和可推广性。</w:t>
      </w:r>
    </w:p>
    <w:p w14:paraId="7B32221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rPr>
        <w:t>4</w:t>
      </w:r>
      <w:r>
        <w:rPr>
          <w:rFonts w:hint="eastAsia"/>
          <w:color w:val="auto"/>
          <w:sz w:val="24"/>
          <w:szCs w:val="24"/>
          <w:lang w:val="en-US" w:eastAsia="zh-CN"/>
        </w:rPr>
        <w:t>.</w:t>
      </w:r>
      <w:r>
        <w:rPr>
          <w:rFonts w:hint="eastAsia"/>
          <w:color w:val="auto"/>
          <w:sz w:val="24"/>
          <w:szCs w:val="24"/>
        </w:rPr>
        <w:t>案例申报教师政治立场坚</w:t>
      </w:r>
      <w:r>
        <w:rPr>
          <w:rFonts w:hint="eastAsia"/>
          <w:color w:val="auto"/>
          <w:sz w:val="24"/>
          <w:szCs w:val="24"/>
          <w:highlight w:val="none"/>
        </w:rPr>
        <w:t>定，师德师风良好</w:t>
      </w:r>
      <w:r>
        <w:rPr>
          <w:rFonts w:hint="eastAsia"/>
          <w:color w:val="auto"/>
          <w:sz w:val="24"/>
          <w:szCs w:val="24"/>
          <w:highlight w:val="none"/>
          <w:lang w:eastAsia="zh-CN"/>
        </w:rPr>
        <w:t>。</w:t>
      </w:r>
    </w:p>
    <w:p w14:paraId="14C67D0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eastAsia="宋体"/>
          <w:b/>
          <w:bCs/>
          <w:color w:val="auto"/>
          <w:sz w:val="24"/>
          <w:szCs w:val="24"/>
          <w:highlight w:val="none"/>
          <w:u w:val="none"/>
          <w:lang w:val="en-US" w:eastAsia="zh-CN"/>
        </w:rPr>
      </w:pPr>
      <w:r>
        <w:rPr>
          <w:rFonts w:hint="eastAsia"/>
          <w:color w:val="auto"/>
          <w:sz w:val="24"/>
          <w:szCs w:val="24"/>
          <w:highlight w:val="none"/>
        </w:rPr>
        <w:t>5</w:t>
      </w:r>
      <w:r>
        <w:rPr>
          <w:rFonts w:hint="eastAsia"/>
          <w:color w:val="auto"/>
          <w:sz w:val="24"/>
          <w:szCs w:val="24"/>
          <w:highlight w:val="none"/>
          <w:lang w:val="en-US" w:eastAsia="zh-CN"/>
        </w:rPr>
        <w:t>.</w:t>
      </w:r>
      <w:r>
        <w:rPr>
          <w:rFonts w:hint="eastAsia"/>
          <w:color w:val="auto"/>
          <w:sz w:val="24"/>
          <w:szCs w:val="24"/>
          <w:highlight w:val="none"/>
        </w:rPr>
        <w:t>“课程思政”案例要坚持原创性，不得侵犯他人知识产权。</w:t>
      </w:r>
      <w:r>
        <w:rPr>
          <w:rFonts w:hint="eastAsia"/>
          <w:b/>
          <w:bCs/>
          <w:color w:val="auto"/>
          <w:sz w:val="24"/>
          <w:szCs w:val="24"/>
          <w:highlight w:val="none"/>
          <w:u w:val="none"/>
          <w:lang w:val="en-US" w:eastAsia="zh-CN"/>
        </w:rPr>
        <w:t>申报案例不得与往年立项的课程思政案例项目名称相同。</w:t>
      </w:r>
    </w:p>
    <w:p w14:paraId="38F5B59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6.鼓励专业必修课程申报课程思政典型案例。</w:t>
      </w:r>
    </w:p>
    <w:p w14:paraId="3910CC8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bCs/>
          <w:color w:val="auto"/>
          <w:sz w:val="24"/>
          <w:szCs w:val="24"/>
          <w:highlight w:val="none"/>
        </w:rPr>
      </w:pPr>
      <w:r>
        <w:rPr>
          <w:rFonts w:hint="eastAsia"/>
          <w:color w:val="auto"/>
          <w:sz w:val="24"/>
          <w:szCs w:val="24"/>
          <w:lang w:val="en-US" w:eastAsia="zh-CN"/>
        </w:rPr>
        <w:t>7.</w:t>
      </w:r>
      <w:r>
        <w:rPr>
          <w:rFonts w:hint="eastAsia"/>
          <w:color w:val="auto"/>
          <w:sz w:val="24"/>
          <w:szCs w:val="24"/>
        </w:rPr>
        <w:t>各</w:t>
      </w:r>
      <w:r>
        <w:rPr>
          <w:rFonts w:hint="eastAsia"/>
          <w:color w:val="auto"/>
          <w:sz w:val="24"/>
          <w:szCs w:val="24"/>
          <w:lang w:val="en-US" w:eastAsia="zh-CN"/>
        </w:rPr>
        <w:t>二级学院（部）</w:t>
      </w:r>
      <w:r>
        <w:rPr>
          <w:rFonts w:hint="eastAsia"/>
          <w:color w:val="auto"/>
          <w:sz w:val="24"/>
          <w:szCs w:val="24"/>
        </w:rPr>
        <w:t>要做好审核</w:t>
      </w:r>
      <w:r>
        <w:rPr>
          <w:rFonts w:hint="eastAsia"/>
          <w:color w:val="auto"/>
          <w:sz w:val="24"/>
          <w:szCs w:val="24"/>
          <w:lang w:val="en-US" w:eastAsia="zh-CN"/>
        </w:rPr>
        <w:t>工作</w:t>
      </w:r>
      <w:r>
        <w:rPr>
          <w:rFonts w:hint="eastAsia"/>
          <w:color w:val="auto"/>
          <w:sz w:val="24"/>
          <w:szCs w:val="24"/>
        </w:rPr>
        <w:t>，</w:t>
      </w:r>
      <w:r>
        <w:rPr>
          <w:rFonts w:hint="eastAsia"/>
          <w:color w:val="auto"/>
          <w:sz w:val="24"/>
          <w:szCs w:val="24"/>
          <w:highlight w:val="none"/>
          <w:lang w:val="en-US" w:eastAsia="zh-CN"/>
        </w:rPr>
        <w:t>原则上</w:t>
      </w:r>
      <w:r>
        <w:rPr>
          <w:rFonts w:hint="eastAsia"/>
          <w:b/>
          <w:bCs/>
          <w:color w:val="auto"/>
          <w:sz w:val="24"/>
          <w:szCs w:val="24"/>
          <w:highlight w:val="none"/>
        </w:rPr>
        <w:t>每个单位最多可以推荐</w:t>
      </w:r>
      <w:r>
        <w:rPr>
          <w:rFonts w:hint="eastAsia"/>
          <w:b/>
          <w:bCs/>
          <w:color w:val="auto"/>
          <w:sz w:val="24"/>
          <w:szCs w:val="24"/>
          <w:highlight w:val="none"/>
          <w:lang w:val="en-US" w:eastAsia="zh-CN"/>
        </w:rPr>
        <w:t>2</w:t>
      </w:r>
      <w:r>
        <w:rPr>
          <w:rFonts w:hint="eastAsia"/>
          <w:b/>
          <w:bCs/>
          <w:color w:val="auto"/>
          <w:sz w:val="24"/>
          <w:szCs w:val="24"/>
          <w:highlight w:val="none"/>
        </w:rPr>
        <w:t>个</w:t>
      </w:r>
      <w:r>
        <w:rPr>
          <w:rFonts w:hint="eastAsia"/>
          <w:b/>
          <w:bCs/>
          <w:color w:val="auto"/>
          <w:sz w:val="24"/>
          <w:szCs w:val="24"/>
          <w:highlight w:val="none"/>
          <w:lang w:val="en-US" w:eastAsia="zh-CN"/>
        </w:rPr>
        <w:t>典型案例</w:t>
      </w:r>
      <w:r>
        <w:rPr>
          <w:rFonts w:hint="eastAsia"/>
          <w:b/>
          <w:bCs/>
          <w:color w:val="auto"/>
          <w:sz w:val="24"/>
          <w:szCs w:val="24"/>
          <w:highlight w:val="none"/>
        </w:rPr>
        <w:t>。</w:t>
      </w:r>
    </w:p>
    <w:p w14:paraId="2C9924A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magenta"/>
        </w:rPr>
      </w:pPr>
    </w:p>
    <w:p w14:paraId="5F815D88">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cs="Times New Roman"/>
          <w:b/>
          <w:bCs/>
          <w:color w:val="auto"/>
          <w:kern w:val="2"/>
          <w:sz w:val="28"/>
          <w:szCs w:val="28"/>
          <w:lang w:val="en-US" w:eastAsia="zh-CN" w:bidi="ar-SA"/>
        </w:rPr>
        <w:t xml:space="preserve">4.2 </w:t>
      </w:r>
      <w:r>
        <w:rPr>
          <w:rFonts w:hint="eastAsia" w:ascii="宋体" w:hAnsi="宋体" w:eastAsia="宋体" w:cs="Times New Roman"/>
          <w:b/>
          <w:bCs/>
          <w:color w:val="auto"/>
          <w:kern w:val="2"/>
          <w:sz w:val="28"/>
          <w:szCs w:val="28"/>
          <w:lang w:val="en-US" w:eastAsia="zh-CN" w:bidi="ar-SA"/>
        </w:rPr>
        <w:t>课程思政示范课程</w:t>
      </w:r>
    </w:p>
    <w:p w14:paraId="2DD9DF1C">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建设目标：</w:t>
      </w:r>
      <w:r>
        <w:rPr>
          <w:rFonts w:hint="eastAsia"/>
          <w:color w:val="auto"/>
          <w:sz w:val="24"/>
          <w:szCs w:val="24"/>
          <w:lang w:val="en-US" w:eastAsia="zh-CN"/>
        </w:rPr>
        <w:t>落实《高等学校课程思政建设指导纲要》等文件精神， 坚持立德树人，强化示范引领，全面推进不同类型高校的课程思政建设理论研究和教学实践，探索创新课程思政建设的方法路径。</w:t>
      </w:r>
    </w:p>
    <w:p w14:paraId="6F53EDE0">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建设内容：</w:t>
      </w:r>
    </w:p>
    <w:p w14:paraId="4082D9F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1.课程准确把握“坚定学生理想信念，教育学生爱党、爱国、爱社会主义、爱人民、爱集体”主线，结合所在学科专业、所属课程类型的育人要求和特点，深入挖掘蕴含的思政育人资源，优化课程思政内容供给。</w:t>
      </w:r>
    </w:p>
    <w:p w14:paraId="44D95D34">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2.课程体现学校办学定位、专业优势和课程特色，注重价值塑造、知识传授与能力培养相统一，科学设计课程目标和教案课件，将思政教育有机融入课程教学，达到润物无声的育人效果。</w:t>
      </w:r>
    </w:p>
    <w:p w14:paraId="7FD6040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3.课程注重课程思政建设模式创新，教学内容体现思想性、前沿性与时代性，教学方法体现先进性、互动性与针对性，形成可供同类课程借鉴共享的经验、成果和模式。</w:t>
      </w:r>
    </w:p>
    <w:p w14:paraId="5105CF48">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4.课程教学团队人员结构合理，集体教研制度完善且有效实施，经常性开展课程思政建设教学研究和交流，课程思政建设整体水平高。</w:t>
      </w:r>
    </w:p>
    <w:p w14:paraId="37DA3A4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5.制定体现课程思政改革思路的课程教学大纲、教案等教学文件。</w:t>
      </w:r>
    </w:p>
    <w:p w14:paraId="0C76022A">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6.课程考核方式和评价办法完善，育人效果显著，学生评教结果优秀，校内外同行专家评价良好，形成较高水平的课程思政展示成果，具有良好的示范辐射作用。</w:t>
      </w:r>
    </w:p>
    <w:p w14:paraId="5F7F5146">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2896DBF4">
      <w:pPr>
        <w:pageBreakBefore w:val="0"/>
        <w:numPr>
          <w:ilvl w:val="0"/>
          <w:numId w:val="0"/>
        </w:numPr>
        <w:kinsoku/>
        <w:wordWrap/>
        <w:overflowPunct/>
        <w:topLinePunct w:val="0"/>
        <w:autoSpaceDE/>
        <w:autoSpaceDN/>
        <w:bidi w:val="0"/>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1.立项的课程思政示范课</w:t>
      </w:r>
      <w:r>
        <w:rPr>
          <w:rFonts w:hint="eastAsia"/>
          <w:b/>
          <w:bCs/>
          <w:color w:val="auto"/>
          <w:sz w:val="24"/>
          <w:szCs w:val="24"/>
          <w:highlight w:val="none"/>
          <w:lang w:val="en-US" w:eastAsia="zh-CN"/>
        </w:rPr>
        <w:t>必须为</w:t>
      </w:r>
      <w:r>
        <w:rPr>
          <w:rFonts w:hint="eastAsia"/>
          <w:color w:val="auto"/>
          <w:sz w:val="24"/>
          <w:szCs w:val="24"/>
          <w:highlight w:val="none"/>
          <w:lang w:val="en-US" w:eastAsia="zh-CN"/>
        </w:rPr>
        <w:t>人才培养方案中</w:t>
      </w:r>
      <w:r>
        <w:rPr>
          <w:rFonts w:hint="eastAsia"/>
          <w:b/>
          <w:bCs/>
          <w:color w:val="auto"/>
          <w:sz w:val="24"/>
          <w:szCs w:val="24"/>
          <w:highlight w:val="none"/>
        </w:rPr>
        <w:t>专业必修课程</w:t>
      </w:r>
      <w:r>
        <w:rPr>
          <w:rFonts w:hint="eastAsia"/>
          <w:b/>
          <w:bCs/>
          <w:color w:val="auto"/>
          <w:sz w:val="24"/>
          <w:szCs w:val="24"/>
          <w:highlight w:val="none"/>
          <w:lang w:eastAsia="zh-CN"/>
        </w:rPr>
        <w:t>，</w:t>
      </w:r>
      <w:r>
        <w:rPr>
          <w:rFonts w:hint="eastAsia"/>
          <w:b/>
          <w:bCs/>
          <w:color w:val="auto"/>
          <w:sz w:val="24"/>
          <w:szCs w:val="24"/>
          <w:highlight w:val="none"/>
          <w:lang w:val="en-US" w:eastAsia="zh-CN"/>
        </w:rPr>
        <w:t>且</w:t>
      </w:r>
      <w:r>
        <w:rPr>
          <w:rFonts w:hint="eastAsia"/>
          <w:color w:val="auto"/>
          <w:sz w:val="24"/>
          <w:szCs w:val="24"/>
          <w:highlight w:val="none"/>
          <w:lang w:val="en-US" w:eastAsia="zh-CN"/>
        </w:rPr>
        <w:t>为已开课至少2个学期的课程，项目主持人主讲该课程2学期以上（含两学期）。</w:t>
      </w:r>
    </w:p>
    <w:p w14:paraId="799A099A">
      <w:pPr>
        <w:pageBreakBefore w:val="0"/>
        <w:numPr>
          <w:ilvl w:val="0"/>
          <w:numId w:val="0"/>
        </w:numPr>
        <w:kinsoku/>
        <w:wordWrap/>
        <w:overflowPunct/>
        <w:topLinePunct w:val="0"/>
        <w:autoSpaceDE/>
        <w:autoSpaceDN/>
        <w:bidi w:val="0"/>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课程负责人应具有副教授</w:t>
      </w:r>
      <w:r>
        <w:rPr>
          <w:rFonts w:hint="eastAsia"/>
          <w:color w:val="auto"/>
          <w:sz w:val="24"/>
          <w:szCs w:val="24"/>
          <w:highlight w:val="none"/>
          <w:lang w:val="en-US" w:eastAsia="zh-CN"/>
        </w:rPr>
        <w:t>及</w:t>
      </w:r>
      <w:r>
        <w:rPr>
          <w:rFonts w:hint="eastAsia"/>
          <w:color w:val="auto"/>
          <w:sz w:val="24"/>
          <w:szCs w:val="24"/>
          <w:highlight w:val="none"/>
        </w:rPr>
        <w:t>以上职称或曾在校级及以上教学类比赛中获得过二等及以上奖励、具有讲师职称的教师担任；课程团队应由试点课程教师与思政课教师共同组建，成员3-5人。</w:t>
      </w:r>
    </w:p>
    <w:p w14:paraId="65EF9637">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highlight w:val="none"/>
          <w:lang w:val="en-US" w:eastAsia="zh-CN"/>
        </w:rPr>
      </w:pPr>
      <w:bookmarkStart w:id="50" w:name="_Toc26542"/>
      <w:r>
        <w:rPr>
          <w:rFonts w:hint="eastAsia"/>
          <w:color w:val="auto"/>
          <w:sz w:val="24"/>
          <w:szCs w:val="24"/>
          <w:highlight w:val="none"/>
          <w:lang w:val="en-US" w:eastAsia="zh-CN"/>
        </w:rPr>
        <w:t>3.团队教师政治立场坚定，师德师风良好。</w:t>
      </w:r>
    </w:p>
    <w:p w14:paraId="102C6FB0">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highlight w:val="none"/>
          <w:lang w:val="en-US" w:eastAsia="zh-CN"/>
        </w:rPr>
      </w:pPr>
      <w:r>
        <w:rPr>
          <w:rFonts w:hint="eastAsia" w:ascii="宋体" w:hAnsi="宋体" w:eastAsia="宋体" w:cs="宋体"/>
          <w:b/>
          <w:bCs/>
          <w:color w:val="auto"/>
          <w:kern w:val="0"/>
          <w:sz w:val="24"/>
          <w:szCs w:val="44"/>
          <w:highlight w:val="none"/>
          <w:lang w:val="en-US" w:eastAsia="zh-CN"/>
        </w:rPr>
        <w:t>建设周期：</w:t>
      </w:r>
      <w:r>
        <w:rPr>
          <w:rFonts w:hint="eastAsia"/>
          <w:color w:val="auto"/>
          <w:sz w:val="24"/>
          <w:szCs w:val="24"/>
          <w:highlight w:val="none"/>
          <w:lang w:val="en-US" w:eastAsia="zh-CN"/>
        </w:rPr>
        <w:t>1年</w:t>
      </w:r>
    </w:p>
    <w:p w14:paraId="55CA3623">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highlight w:val="none"/>
          <w:lang w:val="en-US" w:eastAsia="zh-CN"/>
        </w:rPr>
      </w:pPr>
      <w:r>
        <w:rPr>
          <w:rFonts w:hint="eastAsia" w:ascii="宋体" w:hAnsi="宋体" w:eastAsia="宋体" w:cs="宋体"/>
          <w:b/>
          <w:bCs/>
          <w:color w:val="auto"/>
          <w:kern w:val="0"/>
          <w:sz w:val="24"/>
          <w:szCs w:val="44"/>
          <w:highlight w:val="none"/>
          <w:lang w:val="en-US" w:eastAsia="zh-CN"/>
        </w:rPr>
        <w:t>验收标准：</w:t>
      </w:r>
    </w:p>
    <w:p w14:paraId="5A8AC93E">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highlight w:val="none"/>
          <w:lang w:val="en-US" w:eastAsia="zh-CN"/>
        </w:rPr>
        <w:t>1.制定一套体现课程思政改革思路的教学大纲、</w:t>
      </w:r>
      <w:r>
        <w:rPr>
          <w:rFonts w:hint="eastAsia"/>
          <w:color w:val="auto"/>
          <w:sz w:val="24"/>
          <w:szCs w:val="24"/>
          <w:lang w:val="en-US" w:eastAsia="zh-CN"/>
        </w:rPr>
        <w:t>教案等教学文件。</w:t>
      </w:r>
    </w:p>
    <w:p w14:paraId="7DE687F7">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2.针对课程建设过程中的优秀案例、言传身教的有效做法、课外关心关爱学生的活动、课程的有效设计与实施成果进行总结凝练，形成一组课程思政教学素材库，提供教学改革典型案例及体现改革成效材料。</w:t>
      </w:r>
    </w:p>
    <w:p w14:paraId="419AA6F8">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3.完成1节40-45分钟“示范教学视频”（主讲教师原则上为课程负责人）及教学设计详案，完成不少于3节公开课，提供相关佐证材料。</w:t>
      </w:r>
    </w:p>
    <w:p w14:paraId="6B67FDA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4.对标《高等学校课程思政建设指导纲要》、国家一流课程建设标准，根据学情分析、课程性质、授课内容和教学过程等，完成课程思政育人的教学效果评价。</w:t>
      </w:r>
    </w:p>
    <w:p w14:paraId="72866B95">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17649158">
      <w:pPr>
        <w:pageBreakBefore w:val="0"/>
        <w:widowControl w:val="0"/>
        <w:kinsoku/>
        <w:wordWrap/>
        <w:overflowPunct/>
        <w:topLinePunct w:val="0"/>
        <w:autoSpaceDE/>
        <w:autoSpaceDN/>
        <w:bidi w:val="0"/>
        <w:snapToGrid/>
        <w:spacing w:line="360" w:lineRule="auto"/>
        <w:ind w:firstLine="562" w:firstLineChars="200"/>
        <w:jc w:val="both"/>
        <w:textAlignment w:val="auto"/>
        <w:outlineLvl w:val="0"/>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4.3大中小课程思政一体化示范课程</w:t>
      </w:r>
      <w:bookmarkEnd w:id="50"/>
    </w:p>
    <w:p w14:paraId="2FA94D32">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建设范围：</w:t>
      </w:r>
      <w:r>
        <w:rPr>
          <w:rFonts w:hint="eastAsia"/>
          <w:color w:val="auto"/>
          <w:sz w:val="24"/>
          <w:szCs w:val="24"/>
          <w:lang w:val="en-US" w:eastAsia="zh-CN"/>
        </w:rPr>
        <w:t>课程应是大中小学校开设的，除思想政治类课程外的语文、数学、英语、物理、化学、生物、地理、历史、信息技术、美术、音乐、体育等各类学科课程。</w:t>
      </w:r>
    </w:p>
    <w:p w14:paraId="2EFC6696">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建设</w:t>
      </w:r>
      <w:r>
        <w:rPr>
          <w:rFonts w:hint="eastAsia" w:ascii="宋体" w:hAnsi="宋体" w:cs="宋体"/>
          <w:b/>
          <w:bCs/>
          <w:color w:val="auto"/>
          <w:kern w:val="0"/>
          <w:sz w:val="24"/>
          <w:szCs w:val="44"/>
          <w:lang w:val="en-US" w:eastAsia="zh-CN"/>
        </w:rPr>
        <w:t>目标</w:t>
      </w:r>
      <w:r>
        <w:rPr>
          <w:rFonts w:hint="eastAsia" w:ascii="宋体" w:hAnsi="宋体" w:eastAsia="宋体" w:cs="宋体"/>
          <w:b/>
          <w:bCs/>
          <w:color w:val="auto"/>
          <w:kern w:val="0"/>
          <w:sz w:val="24"/>
          <w:szCs w:val="44"/>
          <w:lang w:val="en-US" w:eastAsia="zh-CN"/>
        </w:rPr>
        <w:t>：</w:t>
      </w:r>
    </w:p>
    <w:p w14:paraId="2437E421">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1.课程打破学段壁垒，围绕大中小学各学科课程的育人要求和特点，形成符合学生成长规律和学习情况，整体螺旋上升的课程思政育人目标。</w:t>
      </w:r>
    </w:p>
    <w:p w14:paraId="2BC240DA">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2.联合中小学校师资组建课程组，常态化开展“面对面”“手拉手”集体备课、磨课、研课等教学研究活动。</w:t>
      </w:r>
    </w:p>
    <w:p w14:paraId="70340972">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申报条件：</w:t>
      </w:r>
    </w:p>
    <w:p w14:paraId="1DA032C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课程应为双负责人，高校教师是课程高校负责人，中小学教师是课程中小学校负责人。高校课程负责人原则上应具有讲师及以上职称或具有博士学位。</w:t>
      </w:r>
    </w:p>
    <w:p w14:paraId="3ECAC769">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5EC81E60">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color w:val="auto"/>
          <w:kern w:val="0"/>
          <w:sz w:val="24"/>
          <w:szCs w:val="44"/>
          <w:lang w:val="en-US" w:eastAsia="zh-CN"/>
        </w:rPr>
      </w:pPr>
      <w:r>
        <w:rPr>
          <w:rFonts w:hint="eastAsia" w:ascii="宋体" w:hAnsi="宋体" w:eastAsia="宋体" w:cs="宋体"/>
          <w:b/>
          <w:bCs/>
          <w:color w:val="auto"/>
          <w:kern w:val="0"/>
          <w:sz w:val="24"/>
          <w:szCs w:val="44"/>
          <w:lang w:val="en-US" w:eastAsia="zh-CN"/>
        </w:rPr>
        <w:t>验收标准：</w:t>
      </w:r>
    </w:p>
    <w:p w14:paraId="34ACE9D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1.制定一套体现课程思政改革思路的教学大纲、教案等教学文件。</w:t>
      </w:r>
    </w:p>
    <w:p w14:paraId="7348980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.课程深入挖掘各学科蕴含的思政育人资源，优化课程思政内容供给，将大中小学课程思政元素融会贯通，形成课程思政优秀案例，并面向1-2个中小学示范推广</w:t>
      </w:r>
      <w:bookmarkStart w:id="51" w:name="bookmark11"/>
      <w:bookmarkEnd w:id="51"/>
      <w:r>
        <w:rPr>
          <w:rFonts w:hint="eastAsia"/>
          <w:color w:val="auto"/>
          <w:sz w:val="24"/>
          <w:szCs w:val="24"/>
          <w:lang w:val="en-US" w:eastAsia="zh-CN"/>
        </w:rPr>
        <w:t>。</w:t>
      </w:r>
    </w:p>
    <w:p w14:paraId="15FC47B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3.针对课程建设过程中的优秀案例、言传身教的有效做法、课外关心关爱学生的活动、课程的有效设计与实施成果进行总结凝练，形成一组课程思政教学素材库。</w:t>
      </w:r>
    </w:p>
    <w:p w14:paraId="7DBF5A50">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4A449F2E">
      <w:pPr>
        <w:pageBreakBefore w:val="0"/>
        <w:widowControl w:val="0"/>
        <w:kinsoku/>
        <w:wordWrap/>
        <w:overflowPunct/>
        <w:topLinePunct w:val="0"/>
        <w:autoSpaceDE/>
        <w:autoSpaceDN/>
        <w:bidi w:val="0"/>
        <w:snapToGrid/>
        <w:spacing w:line="360" w:lineRule="auto"/>
        <w:ind w:firstLine="562" w:firstLineChars="200"/>
        <w:jc w:val="both"/>
        <w:textAlignment w:val="auto"/>
        <w:outlineLvl w:val="0"/>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4.</w:t>
      </w:r>
      <w:r>
        <w:rPr>
          <w:rFonts w:hint="eastAsia" w:ascii="宋体" w:hAnsi="宋体" w:cs="Times New Roman"/>
          <w:b/>
          <w:bCs/>
          <w:color w:val="auto"/>
          <w:kern w:val="2"/>
          <w:sz w:val="28"/>
          <w:szCs w:val="28"/>
          <w:lang w:val="en-US" w:eastAsia="zh-CN" w:bidi="ar-SA"/>
        </w:rPr>
        <w:t>4</w:t>
      </w:r>
      <w:r>
        <w:rPr>
          <w:rFonts w:hint="eastAsia" w:ascii="宋体" w:hAnsi="宋体" w:eastAsia="宋体" w:cs="Times New Roman"/>
          <w:b/>
          <w:bCs/>
          <w:color w:val="auto"/>
          <w:kern w:val="2"/>
          <w:sz w:val="28"/>
          <w:szCs w:val="28"/>
          <w:lang w:val="en-US" w:eastAsia="zh-CN" w:bidi="ar-SA"/>
        </w:rPr>
        <w:t>课程思政教学名师</w:t>
      </w:r>
    </w:p>
    <w:p w14:paraId="70FED50F">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评选范围：</w:t>
      </w:r>
      <w:r>
        <w:rPr>
          <w:rFonts w:hint="eastAsia"/>
          <w:color w:val="auto"/>
          <w:sz w:val="24"/>
          <w:szCs w:val="24"/>
          <w:lang w:val="en-US" w:eastAsia="zh-CN"/>
        </w:rPr>
        <w:t>在校承担课程教学任务的专任教师。已获得校级及以上教学名师奖的教师，不得再参加本次校级课程思政教学名师奖评选。</w:t>
      </w:r>
    </w:p>
    <w:p w14:paraId="49671BFB">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申报条件：</w:t>
      </w:r>
    </w:p>
    <w:p w14:paraId="3AE386B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1.政治立场坚定，师德高尚；事业心强，富有创新协作精神；治学严谨，教风端正；诚信育人，为人师表。</w:t>
      </w:r>
    </w:p>
    <w:p w14:paraId="46AC1801">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2.高校教师应具有副教授及以上职称，年龄60周岁以下，且任现职2年以上，长期承担课程教学任务。近五年来，面向全日制在校生年均教学工作量不少于100学时。</w:t>
      </w:r>
    </w:p>
    <w:p w14:paraId="3E3E4245">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3.教学效果好，将课程思政内容有机融入所主讲的各门课程，且在全校同领域内有较大影响，并形成独特而有效的教学风格，在校内起到示范作用，学生评价和同行评价优秀。</w:t>
      </w:r>
    </w:p>
    <w:p w14:paraId="3406599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因材施教，方法灵活。课程讲授能激发学生的学习兴趣，促进学生积极思维和调动学生潜在的能力，给学生以深刻的创新熏陶；积极开展课程思政教学方法的研究与应用，科学、有效使用现代教育技术，效果好，有自己研制的多媒体课件；注重引导学生自主学习。</w:t>
      </w:r>
    </w:p>
    <w:p w14:paraId="08920CD1">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5.教学研究能力突出。参评教师应主持过校级及以上质量工程项目，在教学内容、教学方法改革方面取得突出成绩，作出重要贡献，发表过高质量的教研论文或出版具有一定影响的教研专著。</w:t>
      </w:r>
    </w:p>
    <w:p w14:paraId="600B334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6.注重教学梯队建设。自觉指导和帮助中青年教师不断提高授课水平，重视教学队伍建设，作为教学团队建设重要参与者对建设结构合理的教学梯队、形成本校该领域教学成就作出重要贡献。</w:t>
      </w:r>
    </w:p>
    <w:p w14:paraId="1B149E6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2066264D">
      <w:pPr>
        <w:pageBreakBefore w:val="0"/>
        <w:widowControl w:val="0"/>
        <w:kinsoku/>
        <w:wordWrap/>
        <w:overflowPunct/>
        <w:topLinePunct w:val="0"/>
        <w:autoSpaceDE/>
        <w:autoSpaceDN/>
        <w:bidi w:val="0"/>
        <w:snapToGrid/>
        <w:spacing w:line="360" w:lineRule="auto"/>
        <w:ind w:firstLine="562" w:firstLineChars="200"/>
        <w:jc w:val="both"/>
        <w:textAlignment w:val="auto"/>
        <w:outlineLvl w:val="0"/>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4.</w:t>
      </w:r>
      <w:r>
        <w:rPr>
          <w:rFonts w:hint="eastAsia" w:ascii="宋体" w:hAnsi="宋体" w:cs="Times New Roman"/>
          <w:b/>
          <w:bCs/>
          <w:color w:val="auto"/>
          <w:kern w:val="2"/>
          <w:sz w:val="28"/>
          <w:szCs w:val="28"/>
          <w:lang w:val="en-US" w:eastAsia="zh-CN" w:bidi="ar-SA"/>
        </w:rPr>
        <w:t>5</w:t>
      </w:r>
      <w:r>
        <w:rPr>
          <w:rFonts w:hint="eastAsia" w:ascii="宋体" w:hAnsi="宋体" w:eastAsia="宋体" w:cs="Times New Roman"/>
          <w:b/>
          <w:bCs/>
          <w:color w:val="auto"/>
          <w:kern w:val="2"/>
          <w:sz w:val="28"/>
          <w:szCs w:val="28"/>
          <w:lang w:val="en-US" w:eastAsia="zh-CN" w:bidi="ar-SA"/>
        </w:rPr>
        <w:t>课程思政教学团队</w:t>
      </w:r>
    </w:p>
    <w:p w14:paraId="760FD91E">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建设目标：</w:t>
      </w:r>
      <w:r>
        <w:rPr>
          <w:rFonts w:hint="eastAsia"/>
          <w:color w:val="auto"/>
          <w:sz w:val="24"/>
          <w:szCs w:val="24"/>
          <w:lang w:val="en-US" w:eastAsia="zh-CN"/>
        </w:rPr>
        <w:t>通过建立有效的课程思政建设团队合作机制，促进课程思政教师间的合作交流，加强对青年教师的培养，推进教学工作的老中青相结合。通过队伍建设，积极促进课程思政教育教学经验交流，推动教学内容、方法的改革研究，拓展教学资源，切实提高立德树人工作成效。</w:t>
      </w:r>
    </w:p>
    <w:p w14:paraId="4B2408F4">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建设内容：</w:t>
      </w:r>
      <w:r>
        <w:rPr>
          <w:rFonts w:hint="eastAsia"/>
          <w:color w:val="auto"/>
          <w:sz w:val="24"/>
          <w:szCs w:val="24"/>
          <w:lang w:val="en-US" w:eastAsia="zh-CN"/>
        </w:rPr>
        <w:t>根据学科专业特征，建立知识结构完善，老中青搭配合理、教学效果明显、在师资队伍建设方面起到示范作用的校级教学团队，资助团队开展教学研究，编辑出版课程思政教学案例和教研成果，培养青年教师，接受教师进修。把促进学科交叉作为创新人才培养的重要途径，鼓励高校组建跨专业、跨学科、跨学院教学团队，整合教学资源，积极探索新型教学模式。</w:t>
      </w:r>
    </w:p>
    <w:p w14:paraId="1BC21D87">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申报条件：</w:t>
      </w:r>
    </w:p>
    <w:p w14:paraId="645C2EB9">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团队及组成。根据专业、课程群建设等情况，以教研室、研究所、实验室、教学基地、实训基地和工程中心等为建设单位，以系列课程或专业为建设平台，在课程思政教育教学改革与实践中形成团队，具有明确的发展目标、良好的合作精神和梯队结构，老中青搭配，职称和知识结构合理，在指导和激励中青年教师提高专业素质和业务水平方面成效显著。</w:t>
      </w:r>
    </w:p>
    <w:p w14:paraId="3C7B6A67">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带头人。应为校级及以上教学名师或本学科（专业）具有教授职称的专家，具有较深的学术造诣和创新性学术思想；坚持在教学第一线为在校生授课。品德高尚，治学严谨，具有团结、协作精神和较好的组织、管理和领导能力。一名专家只能担任一个校级教学团队的带头人。</w:t>
      </w:r>
    </w:p>
    <w:p w14:paraId="36C47A51">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教学工作。了解高校课程思政建设现状、特点和规律，及时更新教学内容。教学方法科学，教学手段先进，引导学生进行研究性学习和创新性实践，培养学生发现、分析和解决问题的兴趣和能力。具有强烈的质量意识和有效的教学质量管理措施，教学效果好，团队无教学事故。</w:t>
      </w:r>
    </w:p>
    <w:p w14:paraId="53A6937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4.教学研究。积极参加教学改革与创新，团队中有成员主持过教学改革研究、一流专业、精品课程等校级及以上质量工程项目，或者获得过校级及以上教学成果奖励。</w:t>
      </w:r>
    </w:p>
    <w:p w14:paraId="71F98A4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5.教材建设。重视教材建设和教材研究，原则上</w:t>
      </w:r>
      <w:r>
        <w:rPr>
          <w:rFonts w:hint="eastAsia" w:ascii="宋体" w:hAnsi="宋体" w:eastAsia="宋体" w:cs="Times New Roman"/>
          <w:b w:val="0"/>
          <w:color w:val="auto"/>
          <w:kern w:val="2"/>
          <w:sz w:val="24"/>
          <w:szCs w:val="24"/>
          <w:lang w:val="en-US" w:eastAsia="zh-CN" w:bidi="ar-SA"/>
        </w:rPr>
        <w:t>团队有成员承担过</w:t>
      </w:r>
      <w:r>
        <w:rPr>
          <w:rFonts w:hint="eastAsia"/>
          <w:color w:val="auto"/>
          <w:sz w:val="24"/>
          <w:szCs w:val="24"/>
          <w:lang w:val="en-US" w:eastAsia="zh-CN"/>
        </w:rPr>
        <w:t>校级及以上规划教材编写任务，教材使用效果良好。</w:t>
      </w:r>
    </w:p>
    <w:p w14:paraId="0DEA1378">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6.已在校级质量工程立项的教学团队不得再申报此项目。</w:t>
      </w:r>
    </w:p>
    <w:p w14:paraId="6EE00AF4">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ascii="宋体" w:hAnsi="宋体" w:eastAsia="宋体" w:cs="宋体"/>
          <w:b/>
          <w:bCs/>
          <w:color w:val="auto"/>
          <w:kern w:val="0"/>
          <w:sz w:val="24"/>
          <w:szCs w:val="44"/>
          <w:lang w:val="en-US" w:eastAsia="zh-CN"/>
        </w:rPr>
        <w:t>建设周期：</w:t>
      </w:r>
      <w:r>
        <w:rPr>
          <w:rFonts w:hint="eastAsia"/>
          <w:color w:val="auto"/>
          <w:sz w:val="24"/>
          <w:szCs w:val="24"/>
          <w:lang w:val="en-US" w:eastAsia="zh-CN"/>
        </w:rPr>
        <w:t>1年</w:t>
      </w:r>
    </w:p>
    <w:p w14:paraId="78C81A0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4CD0E709">
      <w:pPr>
        <w:pageBreakBefore w:val="0"/>
        <w:widowControl w:val="0"/>
        <w:kinsoku/>
        <w:wordWrap/>
        <w:overflowPunct/>
        <w:topLinePunct w:val="0"/>
        <w:autoSpaceDE/>
        <w:autoSpaceDN/>
        <w:bidi w:val="0"/>
        <w:snapToGrid/>
        <w:spacing w:line="360" w:lineRule="auto"/>
        <w:ind w:firstLine="562" w:firstLineChars="200"/>
        <w:jc w:val="both"/>
        <w:textAlignment w:val="auto"/>
        <w:outlineLvl w:val="0"/>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4.6课程思政</w:t>
      </w:r>
      <w:r>
        <w:rPr>
          <w:rFonts w:hint="eastAsia" w:ascii="宋体" w:hAnsi="宋体" w:cs="Times New Roman"/>
          <w:b/>
          <w:bCs/>
          <w:color w:val="auto"/>
          <w:kern w:val="2"/>
          <w:sz w:val="28"/>
          <w:szCs w:val="28"/>
          <w:lang w:val="en-US" w:eastAsia="zh-CN" w:bidi="ar-SA"/>
        </w:rPr>
        <w:t>建设示范</w:t>
      </w:r>
      <w:r>
        <w:rPr>
          <w:rFonts w:hint="eastAsia" w:ascii="宋体" w:hAnsi="宋体" w:eastAsia="宋体" w:cs="Times New Roman"/>
          <w:b/>
          <w:bCs/>
          <w:color w:val="auto"/>
          <w:kern w:val="2"/>
          <w:sz w:val="28"/>
          <w:szCs w:val="28"/>
          <w:lang w:val="en-US" w:eastAsia="zh-CN" w:bidi="ar-SA"/>
        </w:rPr>
        <w:t>中心</w:t>
      </w:r>
    </w:p>
    <w:p w14:paraId="51DE7F69">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建设目标：</w:t>
      </w:r>
      <w:r>
        <w:rPr>
          <w:rFonts w:hint="eastAsia"/>
          <w:color w:val="auto"/>
          <w:sz w:val="24"/>
          <w:szCs w:val="24"/>
          <w:lang w:val="en-US" w:eastAsia="zh-CN"/>
        </w:rPr>
        <w:t>坚持以习近平新时代中国特色社会主义思想为指导，以课程思政研究中心建设为抓手，进一步推进课程思政教学改革，创新大学生思想政治教育，鼓励全校教师深入挖掘各类专业课程的思想政治元素，在课程教学中融合传播习近平新时代中国特色社会主义思想、社会主义核心价值观和中华民族优秀文化传统等正能量知识，实现各类课程与思想政治理论课同向同行、协同共建，形成全员育人、全过程育人和全方位育人格局，着力提升高校人才培养能力。</w:t>
      </w:r>
    </w:p>
    <w:p w14:paraId="49E376C4">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申报范围：</w:t>
      </w:r>
      <w:r>
        <w:rPr>
          <w:rFonts w:hint="eastAsia"/>
          <w:color w:val="auto"/>
          <w:sz w:val="24"/>
          <w:szCs w:val="24"/>
          <w:lang w:val="en-US" w:eastAsia="zh-CN"/>
        </w:rPr>
        <w:t>所有已切实开展课程思政研究且已取得良好的成效的研究中心均可申报。学校将组织专家进行严格评审，择优立项。</w:t>
      </w:r>
    </w:p>
    <w:p w14:paraId="68DF3228">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申报条件：</w:t>
      </w:r>
    </w:p>
    <w:p w14:paraId="4C8A607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1.形成高校教师贯彻课程思政理念并付诸教学过程新局面。</w:t>
      </w:r>
    </w:p>
    <w:p w14:paraId="18C1AB3C">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2.拥有一批专业特色鲜明、专业知识与思政元素深度融合的金课。</w:t>
      </w:r>
    </w:p>
    <w:p w14:paraId="08F0EFB8">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3.拥有一批师德高尚、教学能力突出的教学名师和教学团队。</w:t>
      </w:r>
    </w:p>
    <w:p w14:paraId="1B64AE3E">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4.建立了一套科学有效的课程思政建设和评价体系。</w:t>
      </w:r>
    </w:p>
    <w:p w14:paraId="763D0B30">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5.建成一个辐射区域高校的课程思政示范研究中心。</w:t>
      </w:r>
    </w:p>
    <w:p w14:paraId="537C40D6">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建设周期：</w:t>
      </w:r>
      <w:r>
        <w:rPr>
          <w:rFonts w:hint="eastAsia"/>
          <w:color w:val="auto"/>
          <w:sz w:val="24"/>
          <w:szCs w:val="24"/>
          <w:lang w:val="en-US" w:eastAsia="zh-CN"/>
        </w:rPr>
        <w:t>1年。</w:t>
      </w:r>
    </w:p>
    <w:p w14:paraId="5DF305FB">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5B12C1F6">
      <w:pPr>
        <w:pStyle w:val="2"/>
        <w:pageBreakBefore w:val="0"/>
        <w:kinsoku/>
        <w:wordWrap/>
        <w:overflowPunct/>
        <w:topLinePunct w:val="0"/>
        <w:autoSpaceDE/>
        <w:autoSpaceDN/>
        <w:bidi w:val="0"/>
        <w:snapToGrid/>
        <w:spacing w:line="360" w:lineRule="auto"/>
        <w:textAlignment w:val="auto"/>
        <w:rPr>
          <w:rFonts w:hint="eastAsia" w:ascii="仿宋" w:hAnsi="仿宋" w:eastAsia="仿宋"/>
          <w:b/>
          <w:color w:val="auto"/>
          <w:kern w:val="0"/>
          <w:sz w:val="36"/>
          <w:szCs w:val="36"/>
        </w:rPr>
      </w:pPr>
      <w:r>
        <w:rPr>
          <w:rFonts w:hint="eastAsia" w:ascii="仿宋" w:hAnsi="仿宋" w:eastAsia="仿宋"/>
          <w:b/>
          <w:color w:val="auto"/>
          <w:kern w:val="0"/>
          <w:sz w:val="36"/>
          <w:szCs w:val="36"/>
          <w:lang w:val="en-US" w:eastAsia="zh-CN"/>
        </w:rPr>
        <w:t>5</w:t>
      </w:r>
      <w:r>
        <w:rPr>
          <w:rFonts w:hint="eastAsia" w:ascii="仿宋" w:hAnsi="仿宋" w:eastAsia="仿宋"/>
          <w:b/>
          <w:color w:val="auto"/>
          <w:kern w:val="0"/>
          <w:sz w:val="36"/>
          <w:szCs w:val="36"/>
        </w:rPr>
        <w:tab/>
      </w:r>
      <w:r>
        <w:rPr>
          <w:rFonts w:hint="eastAsia" w:ascii="仿宋" w:hAnsi="仿宋" w:eastAsia="仿宋"/>
          <w:b/>
          <w:color w:val="auto"/>
          <w:kern w:val="0"/>
          <w:sz w:val="36"/>
          <w:szCs w:val="36"/>
        </w:rPr>
        <w:t>师资队伍建设类</w:t>
      </w:r>
    </w:p>
    <w:p w14:paraId="5FDFEB1F">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8"/>
          <w:szCs w:val="28"/>
          <w:lang w:val="en-US" w:eastAsia="zh-CN" w:bidi="ar-SA"/>
        </w:rPr>
      </w:pPr>
      <w:bookmarkStart w:id="52" w:name="_Toc4273"/>
      <w:bookmarkStart w:id="53" w:name="_Toc31587"/>
      <w:bookmarkStart w:id="54" w:name="_Toc117584315"/>
      <w:bookmarkStart w:id="55" w:name="_Toc147652337"/>
      <w:r>
        <w:rPr>
          <w:rFonts w:hint="eastAsia" w:ascii="宋体" w:hAnsi="宋体" w:cs="Times New Roman"/>
          <w:b/>
          <w:bCs/>
          <w:color w:val="auto"/>
          <w:kern w:val="2"/>
          <w:sz w:val="28"/>
          <w:szCs w:val="28"/>
          <w:lang w:val="en-US" w:eastAsia="zh-CN" w:bidi="ar-SA"/>
        </w:rPr>
        <w:t>5</w:t>
      </w:r>
      <w:r>
        <w:rPr>
          <w:rFonts w:hint="eastAsia" w:ascii="宋体" w:hAnsi="宋体" w:eastAsia="宋体" w:cs="Times New Roman"/>
          <w:b/>
          <w:bCs/>
          <w:color w:val="auto"/>
          <w:kern w:val="2"/>
          <w:sz w:val="28"/>
          <w:szCs w:val="28"/>
          <w:lang w:val="en-US" w:eastAsia="zh-CN" w:bidi="ar-SA"/>
        </w:rPr>
        <w:t>.1教学创新团队</w:t>
      </w:r>
      <w:bookmarkEnd w:id="52"/>
      <w:bookmarkEnd w:id="53"/>
      <w:bookmarkEnd w:id="54"/>
      <w:bookmarkEnd w:id="55"/>
    </w:p>
    <w:p w14:paraId="507892D4">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建设目标：</w:t>
      </w:r>
      <w:r>
        <w:rPr>
          <w:rFonts w:hint="eastAsia" w:ascii="宋体" w:hAnsi="宋体" w:eastAsia="宋体" w:cs="Times New Roman"/>
          <w:b w:val="0"/>
          <w:color w:val="auto"/>
          <w:kern w:val="2"/>
          <w:sz w:val="24"/>
          <w:szCs w:val="24"/>
          <w:lang w:val="en-US" w:eastAsia="zh-CN" w:bidi="ar-SA"/>
        </w:rPr>
        <w:t>建立有效的教学创新团队合作机制，发挥老教师的“传、帮、带”作用，加强对青年教师的培养，推进教育教学工作的老中青相结合，促进教学研讨和经验交流，推动教学内容、方法的改革与创新，开发和共享教学资源，打造一批特色鲜明教学创新团队，示范引领高素质教师队伍建设，提高教育教学质量。</w:t>
      </w:r>
    </w:p>
    <w:p w14:paraId="576F157A">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cs="Times New Roman"/>
          <w:b/>
          <w:bCs/>
          <w:color w:val="auto"/>
          <w:kern w:val="2"/>
          <w:sz w:val="24"/>
          <w:szCs w:val="24"/>
          <w:lang w:val="en-US" w:eastAsia="zh-CN" w:bidi="ar-SA"/>
        </w:rPr>
        <w:t>建设内容：</w:t>
      </w:r>
      <w:r>
        <w:rPr>
          <w:rFonts w:hint="eastAsia" w:ascii="宋体" w:hAnsi="宋体" w:eastAsia="宋体" w:cs="Times New Roman"/>
          <w:b w:val="0"/>
          <w:color w:val="auto"/>
          <w:kern w:val="2"/>
          <w:sz w:val="24"/>
          <w:szCs w:val="24"/>
          <w:lang w:val="en-US" w:eastAsia="zh-CN" w:bidi="ar-SA"/>
        </w:rPr>
        <w:t>根据学科专业特征，建立知识结构完善、老中青搭配合理、教学效果明显、师资队伍建设等方面起到示范作用的教学创新团队，资助团队开展教学研究，编辑出版教材或教研专著，培养青年教师，接受教师进修。把促进学科交叉作为创新人才培养的重要途径，鼓励组建跨专业、跨学科、跨学院教学创新团队，整合教学资源，积极探索新型教学模式。</w:t>
      </w:r>
    </w:p>
    <w:p w14:paraId="3D0D9EE6">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申报条件：</w:t>
      </w:r>
    </w:p>
    <w:p w14:paraId="10B23562">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1.</w:t>
      </w:r>
      <w:r>
        <w:rPr>
          <w:rFonts w:hint="eastAsia" w:ascii="宋体" w:hAnsi="宋体" w:eastAsia="宋体" w:cs="Times New Roman"/>
          <w:b w:val="0"/>
          <w:color w:val="auto"/>
          <w:kern w:val="2"/>
          <w:sz w:val="24"/>
          <w:szCs w:val="24"/>
          <w:lang w:val="en-US" w:eastAsia="zh-CN" w:bidi="ar-SA"/>
        </w:rPr>
        <w:t>申报人。应为</w:t>
      </w:r>
      <w:r>
        <w:rPr>
          <w:rFonts w:hint="eastAsia" w:ascii="宋体" w:hAnsi="宋体" w:eastAsia="宋体" w:cs="Times New Roman"/>
          <w:b w:val="0"/>
          <w:color w:val="auto"/>
          <w:kern w:val="2"/>
          <w:sz w:val="24"/>
          <w:szCs w:val="24"/>
          <w:highlight w:val="none"/>
          <w:lang w:val="en-US" w:eastAsia="zh-CN" w:bidi="ar-SA"/>
        </w:rPr>
        <w:t>省级及以上教学名师或本学科（专业）具有教授职称的专家，</w:t>
      </w:r>
      <w:r>
        <w:rPr>
          <w:rFonts w:hint="eastAsia" w:ascii="宋体" w:hAnsi="宋体" w:eastAsia="宋体" w:cs="Times New Roman"/>
          <w:b w:val="0"/>
          <w:color w:val="auto"/>
          <w:kern w:val="2"/>
          <w:sz w:val="24"/>
          <w:szCs w:val="24"/>
          <w:lang w:val="en-US" w:eastAsia="zh-CN" w:bidi="ar-SA"/>
        </w:rPr>
        <w:t>坚持在教学第一线为本科生授课。品德高尚，治学严谨，具有团结、协作精神和较好的组织、管理和领导能力。</w:t>
      </w:r>
      <w:r>
        <w:rPr>
          <w:rFonts w:hint="eastAsia" w:ascii="宋体" w:hAnsi="宋体" w:eastAsia="宋体" w:cs="Times New Roman"/>
          <w:b w:val="0"/>
          <w:color w:val="auto"/>
          <w:kern w:val="2"/>
          <w:sz w:val="24"/>
          <w:szCs w:val="24"/>
          <w:u w:val="none"/>
          <w:lang w:val="en-US" w:eastAsia="zh-CN" w:bidi="ar-SA"/>
        </w:rPr>
        <w:t>一名教师只能担任一个教学团队的带头人</w:t>
      </w:r>
      <w:r>
        <w:rPr>
          <w:rFonts w:hint="eastAsia" w:ascii="宋体" w:hAnsi="宋体" w:cs="Times New Roman"/>
          <w:b w:val="0"/>
          <w:color w:val="auto"/>
          <w:kern w:val="2"/>
          <w:sz w:val="24"/>
          <w:szCs w:val="24"/>
          <w:u w:val="none"/>
          <w:lang w:val="en-US" w:eastAsia="zh-CN" w:bidi="ar-SA"/>
        </w:rPr>
        <w:t>。</w:t>
      </w:r>
      <w:r>
        <w:rPr>
          <w:rFonts w:hint="eastAsia" w:ascii="宋体" w:hAnsi="宋体" w:cs="Times New Roman"/>
          <w:b w:val="0"/>
          <w:color w:val="auto"/>
          <w:kern w:val="2"/>
          <w:sz w:val="24"/>
          <w:szCs w:val="24"/>
          <w:lang w:val="en-US" w:eastAsia="zh-CN" w:bidi="ar-SA"/>
        </w:rPr>
        <w:t xml:space="preserve"> </w:t>
      </w:r>
    </w:p>
    <w:p w14:paraId="776E7AE4">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2.团队组成。根据各学科专业或课程具体情况，以教研室、研究所、实验室、教学基地、实训基地和工程中心等为建设单位，以系列课程或专业为建设平台，在多年教学改革与实践中形成团队，具有明确的发展目标、良好的合作精神和梯队结构，老中青搭配，职称和知识结构合理，在指导和激励中青年教师提高专业素质和业务水平方面成效显著</w:t>
      </w:r>
      <w:r>
        <w:rPr>
          <w:rFonts w:hint="eastAsia" w:ascii="宋体" w:hAnsi="宋体" w:cs="Times New Roman"/>
          <w:b w:val="0"/>
          <w:color w:val="auto"/>
          <w:kern w:val="2"/>
          <w:sz w:val="24"/>
          <w:szCs w:val="24"/>
          <w:lang w:val="en-US" w:eastAsia="zh-CN" w:bidi="ar-SA"/>
        </w:rPr>
        <w:t>。</w:t>
      </w:r>
    </w:p>
    <w:p w14:paraId="79A9CDD9">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3.教学工作。了解学科专业、行业现状，追踪学科专业前沿，及时更新教学内容。教学方法科学，教学手段先进，重视实验实践教学，以学生为中心，引导学生进行研究性学习和创新性实践，培养学生发现、分析和解决问题的兴趣和能力。在教学工作中有强烈的质量意识，具有完整、有效、可持续改进的教学质量管理措施，教学效果好。团队成员无教学事故</w:t>
      </w:r>
      <w:r>
        <w:rPr>
          <w:rFonts w:hint="eastAsia" w:ascii="宋体" w:hAnsi="宋体" w:cs="Times New Roman"/>
          <w:b w:val="0"/>
          <w:color w:val="auto"/>
          <w:kern w:val="2"/>
          <w:sz w:val="24"/>
          <w:szCs w:val="24"/>
          <w:lang w:val="en-US" w:eastAsia="zh-CN" w:bidi="ar-SA"/>
        </w:rPr>
        <w:t>。</w:t>
      </w:r>
    </w:p>
    <w:p w14:paraId="22B341DF">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u w:val="none"/>
          <w:lang w:val="en-US" w:eastAsia="zh-CN" w:bidi="ar-SA"/>
        </w:rPr>
      </w:pPr>
      <w:r>
        <w:rPr>
          <w:rFonts w:hint="eastAsia" w:ascii="宋体" w:hAnsi="宋体" w:eastAsia="宋体" w:cs="Times New Roman"/>
          <w:b w:val="0"/>
          <w:color w:val="auto"/>
          <w:kern w:val="2"/>
          <w:sz w:val="24"/>
          <w:szCs w:val="24"/>
          <w:lang w:val="en-US" w:eastAsia="zh-CN" w:bidi="ar-SA"/>
        </w:rPr>
        <w:t>4.教学研究。积极参加教学改革与创新，团队中有成员</w:t>
      </w:r>
      <w:r>
        <w:rPr>
          <w:rFonts w:hint="eastAsia" w:ascii="宋体" w:hAnsi="宋体" w:eastAsia="宋体" w:cs="Times New Roman"/>
          <w:b w:val="0"/>
          <w:color w:val="auto"/>
          <w:kern w:val="2"/>
          <w:sz w:val="24"/>
          <w:szCs w:val="24"/>
          <w:u w:val="none"/>
          <w:lang w:val="en-US" w:eastAsia="zh-CN" w:bidi="ar-SA"/>
        </w:rPr>
        <w:t>主持过教学改革研究、综合改革试点专业、品牌专业、课程类建设等省级及以上质量工程项目；获得过省级以上教学成果奖或教学竞赛类奖励</w:t>
      </w:r>
      <w:r>
        <w:rPr>
          <w:rFonts w:hint="eastAsia" w:ascii="宋体" w:hAnsi="宋体" w:cs="Times New Roman"/>
          <w:b w:val="0"/>
          <w:color w:val="auto"/>
          <w:kern w:val="2"/>
          <w:sz w:val="24"/>
          <w:szCs w:val="24"/>
          <w:u w:val="none"/>
          <w:lang w:val="en-US" w:eastAsia="zh-CN" w:bidi="ar-SA"/>
        </w:rPr>
        <w:t>。</w:t>
      </w:r>
    </w:p>
    <w:p w14:paraId="569930A2">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5.教材建设。重视教材研究和教材建设，团队有成员承担过</w:t>
      </w:r>
      <w:r>
        <w:rPr>
          <w:rFonts w:hint="eastAsia" w:ascii="宋体" w:hAnsi="宋体" w:cs="Times New Roman"/>
          <w:b w:val="0"/>
          <w:color w:val="auto"/>
          <w:kern w:val="2"/>
          <w:sz w:val="24"/>
          <w:szCs w:val="24"/>
          <w:lang w:val="en-US" w:eastAsia="zh-CN" w:bidi="ar-SA"/>
        </w:rPr>
        <w:t>校级及以上</w:t>
      </w:r>
      <w:r>
        <w:rPr>
          <w:rFonts w:hint="eastAsia" w:ascii="宋体" w:hAnsi="宋体" w:eastAsia="宋体" w:cs="Times New Roman"/>
          <w:b w:val="0"/>
          <w:color w:val="auto"/>
          <w:kern w:val="2"/>
          <w:sz w:val="24"/>
          <w:szCs w:val="24"/>
          <w:lang w:val="en-US" w:eastAsia="zh-CN" w:bidi="ar-SA"/>
        </w:rPr>
        <w:t>规划教材编写任务，教材使用效果良好</w:t>
      </w:r>
      <w:r>
        <w:rPr>
          <w:rFonts w:hint="eastAsia" w:ascii="宋体" w:hAnsi="宋体" w:cs="Times New Roman"/>
          <w:b w:val="0"/>
          <w:color w:val="auto"/>
          <w:kern w:val="2"/>
          <w:sz w:val="24"/>
          <w:szCs w:val="24"/>
          <w:lang w:val="en-US" w:eastAsia="zh-CN" w:bidi="ar-SA"/>
        </w:rPr>
        <w:t>。</w:t>
      </w:r>
    </w:p>
    <w:p w14:paraId="6D8B6B34">
      <w:pPr>
        <w:pageBreakBefore w:val="0"/>
        <w:widowControl/>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6.已在质量工程立项的教学团队不得再重复申报。</w:t>
      </w:r>
    </w:p>
    <w:p w14:paraId="7C124ABF">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建设周期</w:t>
      </w:r>
      <w:r>
        <w:rPr>
          <w:rFonts w:hint="eastAsia" w:ascii="宋体" w:hAnsi="宋体" w:eastAsia="宋体" w:cs="Times New Roman"/>
          <w:b w:val="0"/>
          <w:color w:val="auto"/>
          <w:kern w:val="2"/>
          <w:sz w:val="24"/>
          <w:szCs w:val="24"/>
          <w:highlight w:val="none"/>
          <w:lang w:val="en-US" w:eastAsia="zh-CN" w:bidi="ar-SA"/>
        </w:rPr>
        <w:t>：</w:t>
      </w:r>
      <w:r>
        <w:rPr>
          <w:rFonts w:hint="eastAsia" w:ascii="宋体" w:hAnsi="宋体" w:cs="Times New Roman"/>
          <w:b w:val="0"/>
          <w:color w:val="auto"/>
          <w:kern w:val="2"/>
          <w:sz w:val="24"/>
          <w:szCs w:val="24"/>
          <w:highlight w:val="none"/>
          <w:lang w:val="en-US" w:eastAsia="zh-CN" w:bidi="ar-SA"/>
        </w:rPr>
        <w:t>1</w:t>
      </w:r>
      <w:r>
        <w:rPr>
          <w:rFonts w:hint="eastAsia" w:ascii="宋体" w:hAnsi="宋体" w:eastAsia="宋体" w:cs="Times New Roman"/>
          <w:b w:val="0"/>
          <w:color w:val="auto"/>
          <w:kern w:val="2"/>
          <w:sz w:val="24"/>
          <w:szCs w:val="24"/>
          <w:highlight w:val="none"/>
          <w:lang w:val="en-US" w:eastAsia="zh-CN" w:bidi="ar-SA"/>
        </w:rPr>
        <w:t>年</w:t>
      </w:r>
    </w:p>
    <w:p w14:paraId="1934CC7E">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cs="Times New Roman"/>
          <w:b w:val="0"/>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结项标准：</w:t>
      </w:r>
      <w:r>
        <w:rPr>
          <w:rFonts w:hint="eastAsia" w:ascii="宋体" w:hAnsi="宋体" w:cs="Times New Roman"/>
          <w:b w:val="0"/>
          <w:color w:val="auto"/>
          <w:kern w:val="2"/>
          <w:sz w:val="24"/>
          <w:szCs w:val="24"/>
          <w:highlight w:val="none"/>
          <w:lang w:val="en-US" w:eastAsia="zh-CN" w:bidi="ar-SA"/>
        </w:rPr>
        <w:t>参照省级教学团队验收标准执行。</w:t>
      </w:r>
    </w:p>
    <w:p w14:paraId="38C58C14">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宋体" w:hAnsi="宋体" w:cs="Times New Roman"/>
          <w:b w:val="0"/>
          <w:color w:val="auto"/>
          <w:kern w:val="2"/>
          <w:sz w:val="24"/>
          <w:szCs w:val="24"/>
          <w:highlight w:val="none"/>
          <w:lang w:val="en-US" w:eastAsia="zh-CN" w:bidi="ar-SA"/>
        </w:rPr>
      </w:pPr>
    </w:p>
    <w:p w14:paraId="74673AFD">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4"/>
          <w:szCs w:val="24"/>
          <w:lang w:val="en-US" w:eastAsia="zh-CN" w:bidi="ar-SA"/>
        </w:rPr>
      </w:pPr>
      <w:bookmarkStart w:id="56" w:name="_Toc22368"/>
      <w:bookmarkStart w:id="57" w:name="_Toc8343"/>
      <w:bookmarkStart w:id="58" w:name="_Toc29923"/>
      <w:bookmarkStart w:id="59" w:name="_Toc19790"/>
      <w:bookmarkStart w:id="60" w:name="_Toc7395"/>
      <w:bookmarkStart w:id="61" w:name="_Toc49108514"/>
      <w:bookmarkStart w:id="62" w:name="_Toc25051"/>
      <w:bookmarkStart w:id="63" w:name="_Toc147652338"/>
      <w:bookmarkStart w:id="64" w:name="_Toc28249"/>
      <w:bookmarkStart w:id="65" w:name="_Toc30305"/>
      <w:bookmarkStart w:id="66" w:name="_Toc117584316"/>
      <w:r>
        <w:rPr>
          <w:rFonts w:hint="eastAsia" w:ascii="宋体" w:hAnsi="宋体" w:cs="Times New Roman"/>
          <w:b/>
          <w:bCs/>
          <w:color w:val="auto"/>
          <w:kern w:val="2"/>
          <w:sz w:val="28"/>
          <w:szCs w:val="28"/>
          <w:lang w:val="en-US" w:eastAsia="zh-CN" w:bidi="ar-SA"/>
        </w:rPr>
        <w:t>5</w:t>
      </w:r>
      <w:r>
        <w:rPr>
          <w:rFonts w:hint="eastAsia" w:ascii="宋体" w:hAnsi="宋体" w:eastAsia="宋体" w:cs="Times New Roman"/>
          <w:b/>
          <w:bCs/>
          <w:color w:val="auto"/>
          <w:kern w:val="2"/>
          <w:sz w:val="28"/>
          <w:szCs w:val="28"/>
          <w:lang w:val="en-US" w:eastAsia="zh-CN" w:bidi="ar-SA"/>
        </w:rPr>
        <w:t>.2教学名师</w:t>
      </w:r>
      <w:bookmarkEnd w:id="56"/>
      <w:bookmarkEnd w:id="57"/>
      <w:bookmarkEnd w:id="58"/>
      <w:bookmarkEnd w:id="59"/>
      <w:bookmarkEnd w:id="60"/>
      <w:bookmarkEnd w:id="61"/>
      <w:bookmarkEnd w:id="62"/>
      <w:bookmarkEnd w:id="63"/>
      <w:bookmarkEnd w:id="64"/>
      <w:bookmarkEnd w:id="65"/>
      <w:bookmarkEnd w:id="66"/>
      <w:bookmarkStart w:id="67" w:name="_Toc20968"/>
      <w:bookmarkStart w:id="68" w:name="_Toc13679"/>
      <w:bookmarkStart w:id="69" w:name="_Toc17991"/>
      <w:bookmarkStart w:id="70" w:name="_Toc2943"/>
      <w:bookmarkStart w:id="71" w:name="_Toc30969"/>
      <w:bookmarkStart w:id="72" w:name="_Toc49108515"/>
    </w:p>
    <w:p w14:paraId="4369C7D9">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评选范围</w:t>
      </w:r>
      <w:r>
        <w:rPr>
          <w:rFonts w:hint="eastAsia" w:ascii="宋体" w:hAnsi="宋体" w:cs="Times New Roman"/>
          <w:b/>
          <w:bCs/>
          <w:color w:val="auto"/>
          <w:kern w:val="2"/>
          <w:sz w:val="24"/>
          <w:szCs w:val="24"/>
          <w:lang w:val="en-US" w:eastAsia="zh-CN" w:bidi="ar-SA"/>
        </w:rPr>
        <w:t>：</w:t>
      </w:r>
      <w:r>
        <w:rPr>
          <w:rFonts w:hint="eastAsia" w:ascii="宋体" w:hAnsi="宋体" w:eastAsia="宋体" w:cs="Times New Roman"/>
          <w:b w:val="0"/>
          <w:color w:val="auto"/>
          <w:kern w:val="2"/>
          <w:sz w:val="24"/>
          <w:szCs w:val="24"/>
          <w:lang w:val="en-US" w:eastAsia="zh-CN" w:bidi="ar-SA"/>
        </w:rPr>
        <w:t>承担</w:t>
      </w:r>
      <w:r>
        <w:rPr>
          <w:rFonts w:hint="eastAsia" w:ascii="宋体" w:hAnsi="宋体" w:cs="Times New Roman"/>
          <w:b w:val="0"/>
          <w:color w:val="auto"/>
          <w:kern w:val="2"/>
          <w:sz w:val="24"/>
          <w:szCs w:val="24"/>
          <w:lang w:val="en-US" w:eastAsia="zh-CN" w:bidi="ar-SA"/>
        </w:rPr>
        <w:t>本校</w:t>
      </w:r>
      <w:r>
        <w:rPr>
          <w:rFonts w:hint="eastAsia" w:ascii="宋体" w:hAnsi="宋体" w:eastAsia="宋体" w:cs="Times New Roman"/>
          <w:b w:val="0"/>
          <w:color w:val="auto"/>
          <w:kern w:val="2"/>
          <w:sz w:val="24"/>
          <w:szCs w:val="24"/>
          <w:lang w:val="en-US" w:eastAsia="zh-CN" w:bidi="ar-SA"/>
        </w:rPr>
        <w:t>课程教学任务的专任教师。已获得校级及以上教学名师奖的教师（包括课程思政教学名师、线上教学名师</w:t>
      </w:r>
      <w:r>
        <w:rPr>
          <w:rFonts w:hint="eastAsia" w:ascii="宋体" w:hAnsi="宋体" w:cs="Times New Roman"/>
          <w:b w:val="0"/>
          <w:color w:val="auto"/>
          <w:kern w:val="2"/>
          <w:sz w:val="24"/>
          <w:szCs w:val="24"/>
          <w:lang w:val="en-US" w:eastAsia="zh-CN" w:bidi="ar-SA"/>
        </w:rPr>
        <w:t>、</w:t>
      </w:r>
      <w:r>
        <w:rPr>
          <w:rFonts w:hint="eastAsia" w:ascii="宋体" w:hAnsi="宋体" w:eastAsia="宋体" w:cs="Times New Roman"/>
          <w:b w:val="0"/>
          <w:color w:val="auto"/>
          <w:kern w:val="2"/>
          <w:sz w:val="24"/>
          <w:szCs w:val="24"/>
          <w:lang w:val="en-US" w:eastAsia="zh-CN" w:bidi="ar-SA"/>
        </w:rPr>
        <w:t>省级教学名师等），</w:t>
      </w:r>
      <w:r>
        <w:rPr>
          <w:rFonts w:hint="eastAsia" w:ascii="宋体" w:hAnsi="宋体" w:cs="Times New Roman"/>
          <w:b w:val="0"/>
          <w:color w:val="auto"/>
          <w:kern w:val="2"/>
          <w:sz w:val="24"/>
          <w:szCs w:val="24"/>
          <w:lang w:val="en-US" w:eastAsia="zh-CN" w:bidi="ar-SA"/>
        </w:rPr>
        <w:t>不得重复申报。</w:t>
      </w:r>
    </w:p>
    <w:p w14:paraId="3A0B3EDB">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申报条件：</w:t>
      </w:r>
    </w:p>
    <w:p w14:paraId="49615631">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申报教师须同时符合下列所有条件及要求：</w:t>
      </w:r>
    </w:p>
    <w:p w14:paraId="6D1FC68D">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1.政治立场坚定，师德高尚；事业心强，富有创新协作精神；治学严谨，教风端正；诚信育人，为人师表。</w:t>
      </w:r>
    </w:p>
    <w:p w14:paraId="236F0DDC">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2.承担本科教学任务不少于10年的专任教师，具有教授或副教授职称。长期承担本科教学任务，坚持讲授基础课程。教学效果好，主讲课程在全校同领域内有较大影响，并形成独特而有效的教学风格，在校内起到示范作用，学生评价优秀。</w:t>
      </w:r>
    </w:p>
    <w:p w14:paraId="13E322CC">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3.作为主讲教师，荣获安徽省教育厅主办的教学类竞赛一等奖及以上奖项、国家级一流课程负责人、国家级一流专业负责人可以直接认定为校级教学名师。</w:t>
      </w:r>
    </w:p>
    <w:p w14:paraId="7D67F655">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 w:val="0"/>
          <w:color w:val="auto"/>
          <w:kern w:val="2"/>
          <w:sz w:val="24"/>
          <w:szCs w:val="24"/>
          <w:lang w:val="en-US" w:eastAsia="zh-CN" w:bidi="ar-SA"/>
        </w:rPr>
      </w:pPr>
    </w:p>
    <w:p w14:paraId="53455F1B">
      <w:pPr>
        <w:pStyle w:val="3"/>
        <w:pageBreakBefore w:val="0"/>
        <w:kinsoku/>
        <w:wordWrap/>
        <w:overflowPunct/>
        <w:topLinePunct w:val="0"/>
        <w:autoSpaceDE/>
        <w:autoSpaceDN/>
        <w:bidi w:val="0"/>
        <w:snapToGrid/>
        <w:spacing w:before="0" w:after="0" w:line="360" w:lineRule="auto"/>
        <w:ind w:firstLine="562" w:firstLineChars="200"/>
        <w:textAlignment w:val="auto"/>
        <w:rPr>
          <w:rFonts w:hint="eastAsia" w:ascii="宋体" w:hAnsi="宋体" w:eastAsia="宋体" w:cs="Times New Roman"/>
          <w:b/>
          <w:bCs/>
          <w:color w:val="auto"/>
          <w:kern w:val="2"/>
          <w:sz w:val="28"/>
          <w:szCs w:val="28"/>
          <w:lang w:val="en-US" w:eastAsia="zh-CN" w:bidi="ar-SA"/>
        </w:rPr>
      </w:pPr>
      <w:bookmarkStart w:id="73" w:name="_Toc7237"/>
      <w:bookmarkStart w:id="74" w:name="_Toc15235"/>
      <w:bookmarkStart w:id="75" w:name="_Toc4516"/>
      <w:bookmarkStart w:id="76" w:name="_Toc117584317"/>
      <w:bookmarkStart w:id="77" w:name="_Toc147652339"/>
      <w:r>
        <w:rPr>
          <w:rFonts w:hint="eastAsia" w:ascii="宋体" w:hAnsi="宋体" w:cs="Times New Roman"/>
          <w:b/>
          <w:bCs/>
          <w:color w:val="auto"/>
          <w:kern w:val="2"/>
          <w:sz w:val="28"/>
          <w:szCs w:val="28"/>
          <w:lang w:val="en-US" w:eastAsia="zh-CN" w:bidi="ar-SA"/>
        </w:rPr>
        <w:t>5</w:t>
      </w:r>
      <w:r>
        <w:rPr>
          <w:rFonts w:hint="eastAsia" w:ascii="宋体" w:hAnsi="宋体" w:eastAsia="宋体" w:cs="Times New Roman"/>
          <w:b/>
          <w:bCs/>
          <w:color w:val="auto"/>
          <w:kern w:val="2"/>
          <w:sz w:val="28"/>
          <w:szCs w:val="28"/>
          <w:lang w:val="en-US" w:eastAsia="zh-CN" w:bidi="ar-SA"/>
        </w:rPr>
        <w:t>.3教坛新秀</w:t>
      </w:r>
      <w:bookmarkEnd w:id="67"/>
      <w:bookmarkEnd w:id="68"/>
      <w:bookmarkEnd w:id="69"/>
      <w:bookmarkEnd w:id="70"/>
      <w:bookmarkEnd w:id="71"/>
      <w:bookmarkEnd w:id="72"/>
      <w:bookmarkEnd w:id="73"/>
      <w:bookmarkEnd w:id="74"/>
      <w:bookmarkEnd w:id="75"/>
      <w:bookmarkEnd w:id="76"/>
      <w:bookmarkEnd w:id="77"/>
    </w:p>
    <w:p w14:paraId="525DE656">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评选</w:t>
      </w:r>
      <w:r>
        <w:rPr>
          <w:rFonts w:hint="eastAsia" w:ascii="宋体" w:hAnsi="宋体" w:cs="Times New Roman"/>
          <w:b/>
          <w:bCs/>
          <w:color w:val="auto"/>
          <w:kern w:val="2"/>
          <w:sz w:val="24"/>
          <w:szCs w:val="24"/>
          <w:lang w:val="en-US" w:eastAsia="zh-CN" w:bidi="ar-SA"/>
        </w:rPr>
        <w:t>范围：</w:t>
      </w:r>
      <w:r>
        <w:rPr>
          <w:rFonts w:hint="eastAsia" w:ascii="宋体" w:hAnsi="宋体" w:eastAsia="宋体" w:cs="Times New Roman"/>
          <w:b w:val="0"/>
          <w:color w:val="auto"/>
          <w:kern w:val="2"/>
          <w:sz w:val="24"/>
          <w:szCs w:val="24"/>
          <w:lang w:val="en-US" w:eastAsia="zh-CN" w:bidi="ar-SA"/>
        </w:rPr>
        <w:t>承担</w:t>
      </w:r>
      <w:r>
        <w:rPr>
          <w:rFonts w:hint="eastAsia" w:ascii="宋体" w:hAnsi="宋体" w:cs="Times New Roman"/>
          <w:b w:val="0"/>
          <w:color w:val="auto"/>
          <w:kern w:val="2"/>
          <w:sz w:val="24"/>
          <w:szCs w:val="24"/>
          <w:lang w:val="en-US" w:eastAsia="zh-CN" w:bidi="ar-SA"/>
        </w:rPr>
        <w:t>本校</w:t>
      </w:r>
      <w:r>
        <w:rPr>
          <w:rFonts w:hint="eastAsia" w:ascii="宋体" w:hAnsi="宋体" w:eastAsia="宋体" w:cs="Times New Roman"/>
          <w:b w:val="0"/>
          <w:color w:val="auto"/>
          <w:kern w:val="2"/>
          <w:sz w:val="24"/>
          <w:szCs w:val="24"/>
          <w:lang w:val="en-US" w:eastAsia="zh-CN" w:bidi="ar-SA"/>
        </w:rPr>
        <w:t>课程教学任务的年轻骨干教师和学科带头人</w:t>
      </w:r>
      <w:r>
        <w:rPr>
          <w:rFonts w:hint="eastAsia" w:ascii="宋体" w:hAnsi="宋体" w:cs="Times New Roman"/>
          <w:b w:val="0"/>
          <w:color w:val="auto"/>
          <w:kern w:val="2"/>
          <w:sz w:val="24"/>
          <w:szCs w:val="24"/>
          <w:lang w:val="en-US" w:eastAsia="zh-CN" w:bidi="ar-SA"/>
        </w:rPr>
        <w:t>。已获得校级及以上教坛新秀的，不得重复申报。</w:t>
      </w:r>
    </w:p>
    <w:p w14:paraId="14DB1929">
      <w:pPr>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申报教师须同时符合下列所有条件及要求：</w:t>
      </w:r>
    </w:p>
    <w:p w14:paraId="098956FE">
      <w:pPr>
        <w:pageBreakBefore w:val="0"/>
        <w:widowControl/>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申报条件：</w:t>
      </w:r>
    </w:p>
    <w:p w14:paraId="52D3932F">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1.</w:t>
      </w:r>
      <w:r>
        <w:rPr>
          <w:rFonts w:hint="eastAsia" w:ascii="宋体" w:hAnsi="宋体" w:eastAsia="宋体" w:cs="Times New Roman"/>
          <w:b w:val="0"/>
          <w:color w:val="auto"/>
          <w:kern w:val="2"/>
          <w:sz w:val="24"/>
          <w:szCs w:val="24"/>
          <w:lang w:val="en-US" w:eastAsia="zh-CN" w:bidi="ar-SA"/>
        </w:rPr>
        <w:t>具有高校教师资格证，40周岁以下（198</w:t>
      </w:r>
      <w:r>
        <w:rPr>
          <w:rFonts w:hint="eastAsia" w:ascii="宋体" w:hAnsi="宋体" w:cs="Times New Roman"/>
          <w:b w:val="0"/>
          <w:color w:val="auto"/>
          <w:kern w:val="2"/>
          <w:sz w:val="24"/>
          <w:szCs w:val="24"/>
          <w:lang w:val="en-US" w:eastAsia="zh-CN" w:bidi="ar-SA"/>
        </w:rPr>
        <w:t>4</w:t>
      </w:r>
      <w:r>
        <w:rPr>
          <w:rFonts w:hint="eastAsia" w:ascii="宋体" w:hAnsi="宋体" w:eastAsia="宋体" w:cs="Times New Roman"/>
          <w:b w:val="0"/>
          <w:color w:val="auto"/>
          <w:kern w:val="2"/>
          <w:sz w:val="24"/>
          <w:szCs w:val="24"/>
          <w:lang w:val="en-US" w:eastAsia="zh-CN" w:bidi="ar-SA"/>
        </w:rPr>
        <w:t>年1月1日后出生）的教学一线</w:t>
      </w:r>
      <w:r>
        <w:rPr>
          <w:rFonts w:hint="eastAsia" w:ascii="宋体" w:hAnsi="宋体" w:cs="Times New Roman"/>
          <w:b w:val="0"/>
          <w:color w:val="auto"/>
          <w:kern w:val="2"/>
          <w:sz w:val="24"/>
          <w:szCs w:val="24"/>
          <w:lang w:val="en-US" w:eastAsia="zh-CN" w:bidi="ar-SA"/>
        </w:rPr>
        <w:t>的青年教师，且须荣获校级青年教师教学竞赛或教师教学创新大赛二等奖及以上方可申报。</w:t>
      </w:r>
    </w:p>
    <w:p w14:paraId="3A3706A7">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2.爱岗敬业，教风端正，关爱学生，为人师表，模范遵守教师职业道德，未出现教学事故或受其它处分。</w:t>
      </w:r>
    </w:p>
    <w:p w14:paraId="64A257B5">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3.教学工作量饱满，</w:t>
      </w:r>
      <w:r>
        <w:rPr>
          <w:rFonts w:hint="eastAsia" w:ascii="宋体" w:hAnsi="宋体" w:cs="Times New Roman"/>
          <w:b w:val="0"/>
          <w:color w:val="auto"/>
          <w:kern w:val="2"/>
          <w:sz w:val="24"/>
          <w:szCs w:val="24"/>
          <w:lang w:val="en-US" w:eastAsia="zh-CN" w:bidi="ar-SA"/>
        </w:rPr>
        <w:t>应</w:t>
      </w:r>
      <w:r>
        <w:rPr>
          <w:rFonts w:hint="eastAsia" w:ascii="宋体" w:hAnsi="宋体" w:eastAsia="宋体" w:cs="Times New Roman"/>
          <w:b w:val="0"/>
          <w:color w:val="auto"/>
          <w:kern w:val="2"/>
          <w:sz w:val="24"/>
          <w:szCs w:val="24"/>
          <w:lang w:val="en-US" w:eastAsia="zh-CN" w:bidi="ar-SA"/>
        </w:rPr>
        <w:t>高于所在教研室或课程组平均水平</w:t>
      </w:r>
      <w:r>
        <w:rPr>
          <w:rFonts w:hint="eastAsia" w:ascii="宋体" w:hAnsi="宋体" w:cs="Times New Roman"/>
          <w:b w:val="0"/>
          <w:color w:val="auto"/>
          <w:kern w:val="2"/>
          <w:sz w:val="24"/>
          <w:szCs w:val="24"/>
          <w:lang w:val="en-US" w:eastAsia="zh-CN" w:bidi="ar-SA"/>
        </w:rPr>
        <w:t>，</w:t>
      </w:r>
      <w:r>
        <w:rPr>
          <w:rFonts w:hint="eastAsia" w:ascii="宋体" w:hAnsi="宋体" w:eastAsia="宋体" w:cs="Times New Roman"/>
          <w:b w:val="0"/>
          <w:color w:val="auto"/>
          <w:kern w:val="2"/>
          <w:sz w:val="24"/>
          <w:szCs w:val="24"/>
          <w:lang w:val="en-US" w:eastAsia="zh-CN" w:bidi="ar-SA"/>
        </w:rPr>
        <w:t>教学水平高，教学效果优秀</w:t>
      </w:r>
      <w:r>
        <w:rPr>
          <w:rFonts w:hint="eastAsia" w:ascii="宋体" w:hAnsi="宋体" w:cs="Times New Roman"/>
          <w:b w:val="0"/>
          <w:color w:val="auto"/>
          <w:kern w:val="2"/>
          <w:sz w:val="24"/>
          <w:szCs w:val="24"/>
          <w:lang w:val="en-US" w:eastAsia="zh-CN" w:bidi="ar-SA"/>
        </w:rPr>
        <w:t>。</w:t>
      </w:r>
    </w:p>
    <w:p w14:paraId="4BCF65C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b w:val="0"/>
          <w:color w:val="auto"/>
          <w:kern w:val="2"/>
          <w:sz w:val="24"/>
          <w:szCs w:val="24"/>
          <w:u w:val="single"/>
          <w:lang w:val="en-US" w:eastAsia="zh-CN" w:bidi="ar-SA"/>
        </w:rPr>
      </w:pPr>
      <w:r>
        <w:rPr>
          <w:rFonts w:hint="eastAsia" w:ascii="宋体" w:hAnsi="宋体" w:eastAsia="宋体" w:cs="Times New Roman"/>
          <w:b w:val="0"/>
          <w:color w:val="auto"/>
          <w:kern w:val="2"/>
          <w:sz w:val="24"/>
          <w:szCs w:val="24"/>
          <w:lang w:val="en-US" w:eastAsia="zh-CN" w:bidi="ar-SA"/>
        </w:rPr>
        <w:t>4.任现职以来，取得较突出的教研、科研和技术服务成果。在指导学生创新创业或学科技能竞赛中取得较好成绩，学生满意度较高。</w:t>
      </w:r>
    </w:p>
    <w:p w14:paraId="1647389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b w:val="0"/>
          <w:color w:val="auto"/>
          <w:kern w:val="2"/>
          <w:sz w:val="24"/>
          <w:szCs w:val="24"/>
          <w:u w:val="none"/>
          <w:lang w:val="en-US" w:eastAsia="zh-CN" w:bidi="ar-SA"/>
        </w:rPr>
      </w:pPr>
      <w:r>
        <w:rPr>
          <w:rFonts w:hint="eastAsia" w:ascii="宋体" w:hAnsi="宋体" w:eastAsia="宋体" w:cs="Times New Roman"/>
          <w:b w:val="0"/>
          <w:color w:val="auto"/>
          <w:kern w:val="2"/>
          <w:sz w:val="24"/>
          <w:szCs w:val="24"/>
          <w:u w:val="none"/>
          <w:lang w:val="en-US" w:eastAsia="zh-CN" w:bidi="ar-SA"/>
        </w:rPr>
        <w:t>5.</w:t>
      </w:r>
      <w:r>
        <w:rPr>
          <w:rFonts w:hint="eastAsia" w:ascii="宋体" w:hAnsi="宋体" w:cs="Times New Roman"/>
          <w:b w:val="0"/>
          <w:color w:val="auto"/>
          <w:kern w:val="2"/>
          <w:sz w:val="24"/>
          <w:szCs w:val="24"/>
          <w:u w:val="none"/>
          <w:lang w:val="en-US" w:eastAsia="zh-CN" w:bidi="ar-SA"/>
        </w:rPr>
        <w:t>作为主讲教师，</w:t>
      </w:r>
      <w:r>
        <w:rPr>
          <w:rFonts w:hint="eastAsia" w:ascii="宋体" w:hAnsi="宋体" w:eastAsia="宋体" w:cs="Times New Roman"/>
          <w:b w:val="0"/>
          <w:color w:val="auto"/>
          <w:kern w:val="2"/>
          <w:sz w:val="24"/>
          <w:szCs w:val="24"/>
          <w:u w:val="none"/>
          <w:lang w:val="en-US" w:eastAsia="zh-CN" w:bidi="ar-SA"/>
        </w:rPr>
        <w:t>荣获安徽省教育厅主办的教学类竞赛二等奖及以上奖项，可以直接认定为校级教坛新秀。</w:t>
      </w:r>
    </w:p>
    <w:p w14:paraId="1CCBD3E6">
      <w:pPr>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Times New Roman"/>
          <w:b w:val="0"/>
          <w:color w:val="auto"/>
          <w:kern w:val="2"/>
          <w:sz w:val="36"/>
          <w:szCs w:val="36"/>
          <w:lang w:val="en-US" w:eastAsia="zh-CN" w:bidi="ar-SA"/>
        </w:rPr>
      </w:pPr>
    </w:p>
    <w:p w14:paraId="3FE0ECDE">
      <w:pPr>
        <w:pageBreakBefore w:val="0"/>
        <w:widowControl/>
        <w:numPr>
          <w:ilvl w:val="0"/>
          <w:numId w:val="0"/>
        </w:numPr>
        <w:kinsoku/>
        <w:wordWrap/>
        <w:overflowPunct/>
        <w:topLinePunct w:val="0"/>
        <w:autoSpaceDE/>
        <w:autoSpaceDN/>
        <w:bidi w:val="0"/>
        <w:adjustRightInd w:val="0"/>
        <w:snapToGrid/>
        <w:spacing w:line="360" w:lineRule="auto"/>
        <w:textAlignment w:val="auto"/>
        <w:rPr>
          <w:rFonts w:hint="eastAsia" w:ascii="仿宋" w:hAnsi="仿宋" w:eastAsia="仿宋"/>
          <w:b/>
          <w:color w:val="auto"/>
          <w:kern w:val="0"/>
          <w:sz w:val="36"/>
          <w:szCs w:val="36"/>
          <w:lang w:val="en-US" w:eastAsia="zh-CN"/>
        </w:rPr>
      </w:pPr>
      <w:r>
        <w:rPr>
          <w:rFonts w:hint="eastAsia" w:ascii="仿宋" w:hAnsi="仿宋" w:eastAsia="仿宋"/>
          <w:b/>
          <w:color w:val="auto"/>
          <w:kern w:val="0"/>
          <w:sz w:val="36"/>
          <w:szCs w:val="36"/>
          <w:lang w:val="en-US" w:eastAsia="zh-CN"/>
        </w:rPr>
        <w:t>6  专业建设类项目</w:t>
      </w:r>
    </w:p>
    <w:p w14:paraId="27A63E6E">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lang w:val="en-US" w:eastAsia="zh-CN"/>
        </w:rPr>
      </w:pPr>
      <w:r>
        <w:rPr>
          <w:rFonts w:hint="eastAsia"/>
          <w:b/>
          <w:bCs/>
          <w:color w:val="auto"/>
          <w:sz w:val="24"/>
          <w:szCs w:val="24"/>
          <w:lang w:val="en-US" w:eastAsia="zh-CN"/>
        </w:rPr>
        <w:t>建设目标：</w:t>
      </w:r>
      <w:r>
        <w:rPr>
          <w:rFonts w:hint="eastAsia"/>
          <w:color w:val="auto"/>
          <w:sz w:val="24"/>
          <w:szCs w:val="24"/>
          <w:lang w:val="en-US" w:eastAsia="zh-CN"/>
        </w:rPr>
        <w:t>以建设一流本科专业为目标，对标我校应用型高水平大学建设任务部署，根据《铜陵学院一流本科专业建设实施方案（2023-2026）》，不断加强专业内涵建设，健全专业发展长效机制，提升专业建设整体水平，聚焦聚力打造一流本科教育。</w:t>
      </w:r>
    </w:p>
    <w:p w14:paraId="2BEC7976">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default"/>
          <w:b/>
          <w:bCs/>
          <w:color w:val="auto"/>
          <w:sz w:val="24"/>
          <w:szCs w:val="24"/>
          <w:lang w:val="en-US" w:eastAsia="zh-CN"/>
        </w:rPr>
      </w:pPr>
      <w:r>
        <w:rPr>
          <w:rFonts w:hint="default"/>
          <w:b/>
          <w:bCs/>
          <w:color w:val="auto"/>
          <w:sz w:val="24"/>
          <w:szCs w:val="24"/>
          <w:lang w:val="en-US" w:eastAsia="zh-CN"/>
        </w:rPr>
        <w:t>申报条件</w:t>
      </w:r>
      <w:r>
        <w:rPr>
          <w:rFonts w:hint="eastAsia"/>
          <w:b/>
          <w:bCs/>
          <w:color w:val="auto"/>
          <w:sz w:val="24"/>
          <w:szCs w:val="24"/>
          <w:lang w:val="en-US" w:eastAsia="zh-CN"/>
        </w:rPr>
        <w:t>：</w:t>
      </w:r>
    </w:p>
    <w:p w14:paraId="461585AC">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1.专业定位明确。坚持立德树人，服务面向清晰，专业定位符合学校发展定位和办学方向，适应并有效服务经济社会发展需求。</w:t>
      </w:r>
    </w:p>
    <w:p w14:paraId="3A7091D4">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2.专业管理规范。切实落实本科专业国家标准要求，人才培养方案科学合理，近三年未出现重大安全责任事故。</w:t>
      </w:r>
    </w:p>
    <w:p w14:paraId="457280FD">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3.专业基础扎实，近3年均有本科招生。基层教学组织健全，不断加强基层教学组织建设，教育教学研究活动开展广泛。不断加强师资队伍建设，专业教学团队结构合理，整体素质水平高，专职专业教师硕博比达到80%以上。本专业任课教师近三年获得校级及以上教学比赛、科研奖励</w:t>
      </w:r>
      <w:r>
        <w:rPr>
          <w:rFonts w:hint="eastAsia"/>
          <w:color w:val="auto"/>
          <w:sz w:val="24"/>
          <w:szCs w:val="24"/>
          <w:lang w:val="en-US" w:eastAsia="zh-CN"/>
        </w:rPr>
        <w:t>，</w:t>
      </w:r>
      <w:r>
        <w:rPr>
          <w:rFonts w:hint="default"/>
          <w:color w:val="auto"/>
          <w:sz w:val="24"/>
          <w:szCs w:val="24"/>
          <w:lang w:val="en-US" w:eastAsia="zh-CN"/>
        </w:rPr>
        <w:t>主持教改项目等成果。</w:t>
      </w:r>
    </w:p>
    <w:p w14:paraId="1119E583">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4.改革成效突出。持续深化教育教学改革，教育理念先进，以新理念、新形态、新方法引领带动新工科、新文科建设。改革人才培养模式，开展校企（政、校、行）合作、国际交流合作等，改革成效突出。积极开展课堂教学改革，课程教学内容更新及时，教学方法手段不断创新，课程建设成效明显。</w:t>
      </w:r>
    </w:p>
    <w:p w14:paraId="2EC2943F">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5.培养质量一流。坚持以学生为中心，促进学生全面发展，学生基础理论和基本技能扎实，积极参与教研、科研、创新创业活动、社会实践活动等。近3年学生在校期间获得过</w:t>
      </w:r>
      <w:r>
        <w:rPr>
          <w:rFonts w:hint="eastAsia"/>
          <w:color w:val="auto"/>
          <w:sz w:val="24"/>
          <w:szCs w:val="24"/>
          <w:highlight w:val="none"/>
          <w:lang w:val="en-US" w:eastAsia="zh-CN"/>
        </w:rPr>
        <w:t>校级</w:t>
      </w:r>
      <w:r>
        <w:rPr>
          <w:rFonts w:hint="default"/>
          <w:color w:val="auto"/>
          <w:sz w:val="24"/>
          <w:szCs w:val="24"/>
          <w:highlight w:val="none"/>
          <w:lang w:val="en-US" w:eastAsia="zh-CN"/>
        </w:rPr>
        <w:t>及以上学科竞赛奖励，或发表学术论文，或获授权专利等。</w:t>
      </w:r>
    </w:p>
    <w:p w14:paraId="735B1AB7">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default"/>
          <w:color w:val="auto"/>
          <w:sz w:val="24"/>
          <w:szCs w:val="24"/>
          <w:highlight w:val="none"/>
          <w:lang w:val="en-US" w:eastAsia="zh-CN"/>
        </w:rPr>
      </w:pPr>
      <w:r>
        <w:rPr>
          <w:rFonts w:hint="default"/>
          <w:b/>
          <w:bCs/>
          <w:color w:val="auto"/>
          <w:sz w:val="24"/>
          <w:szCs w:val="24"/>
          <w:highlight w:val="none"/>
          <w:lang w:val="en-US" w:eastAsia="zh-CN"/>
        </w:rPr>
        <w:t>建设方式</w:t>
      </w:r>
      <w:r>
        <w:rPr>
          <w:rFonts w:hint="eastAsia"/>
          <w:b/>
          <w:bCs/>
          <w:color w:val="auto"/>
          <w:sz w:val="24"/>
          <w:szCs w:val="24"/>
          <w:highlight w:val="none"/>
          <w:lang w:val="en-US" w:eastAsia="zh-CN"/>
        </w:rPr>
        <w:t>：</w:t>
      </w:r>
      <w:r>
        <w:rPr>
          <w:rFonts w:hint="default"/>
          <w:color w:val="auto"/>
          <w:sz w:val="24"/>
          <w:szCs w:val="24"/>
          <w:highlight w:val="none"/>
          <w:lang w:val="en-US" w:eastAsia="zh-CN"/>
        </w:rPr>
        <w:t>按照先建设后验收原则，第一步认定为校级一流本科专业建设点，第二步学校组织验收，通过验收后认定为校级一流本科专业。建设</w:t>
      </w:r>
      <w:r>
        <w:rPr>
          <w:rFonts w:hint="eastAsia"/>
          <w:color w:val="auto"/>
          <w:sz w:val="24"/>
          <w:szCs w:val="24"/>
          <w:highlight w:val="none"/>
          <w:lang w:val="en-US" w:eastAsia="zh-CN"/>
        </w:rPr>
        <w:t>周</w:t>
      </w:r>
      <w:r>
        <w:rPr>
          <w:rFonts w:hint="default"/>
          <w:color w:val="auto"/>
          <w:sz w:val="24"/>
          <w:szCs w:val="24"/>
          <w:highlight w:val="none"/>
          <w:lang w:val="en-US" w:eastAsia="zh-CN"/>
        </w:rPr>
        <w:t>期</w:t>
      </w:r>
      <w:r>
        <w:rPr>
          <w:rFonts w:hint="eastAsia"/>
          <w:color w:val="auto"/>
          <w:sz w:val="24"/>
          <w:szCs w:val="24"/>
          <w:highlight w:val="none"/>
          <w:lang w:val="en-US" w:eastAsia="zh-CN"/>
        </w:rPr>
        <w:t>2</w:t>
      </w:r>
      <w:r>
        <w:rPr>
          <w:rFonts w:hint="default"/>
          <w:color w:val="auto"/>
          <w:sz w:val="24"/>
          <w:szCs w:val="24"/>
          <w:highlight w:val="none"/>
          <w:lang w:val="en-US" w:eastAsia="zh-CN"/>
        </w:rPr>
        <w:t>年</w:t>
      </w:r>
      <w:r>
        <w:rPr>
          <w:rFonts w:hint="eastAsia"/>
          <w:color w:val="auto"/>
          <w:sz w:val="24"/>
          <w:szCs w:val="24"/>
          <w:highlight w:val="none"/>
          <w:lang w:val="en-US" w:eastAsia="zh-CN"/>
        </w:rPr>
        <w:t>。</w:t>
      </w:r>
    </w:p>
    <w:p w14:paraId="1F0E3ED2">
      <w:pPr>
        <w:pageBreakBefore w:val="0"/>
        <w:widowControl/>
        <w:numPr>
          <w:ilvl w:val="0"/>
          <w:numId w:val="0"/>
        </w:numPr>
        <w:kinsoku/>
        <w:wordWrap/>
        <w:overflowPunct/>
        <w:topLinePunct w:val="0"/>
        <w:autoSpaceDE/>
        <w:autoSpaceDN/>
        <w:bidi w:val="0"/>
        <w:adjustRightInd w:val="0"/>
        <w:snapToGrid/>
        <w:spacing w:line="360" w:lineRule="auto"/>
        <w:ind w:left="0" w:leftChars="0" w:firstLine="482" w:firstLineChars="200"/>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验收标准：</w:t>
      </w:r>
      <w:r>
        <w:rPr>
          <w:rFonts w:hint="eastAsia"/>
          <w:color w:val="auto"/>
          <w:sz w:val="24"/>
          <w:szCs w:val="24"/>
          <w:highlight w:val="none"/>
          <w:lang w:val="en-US" w:eastAsia="zh-CN"/>
        </w:rPr>
        <w:t>参照省级和国家级一流专业建设标准执行。</w:t>
      </w:r>
    </w:p>
    <w:p w14:paraId="19697006">
      <w:pPr>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sz w:val="24"/>
          <w:szCs w:val="24"/>
          <w:lang w:val="en-US" w:eastAsia="zh-CN"/>
        </w:rPr>
      </w:pPr>
    </w:p>
    <w:p w14:paraId="0BB05DD4">
      <w:pPr>
        <w:pageBreakBefore w:val="0"/>
        <w:widowControl/>
        <w:numPr>
          <w:ilvl w:val="0"/>
          <w:numId w:val="0"/>
        </w:numPr>
        <w:kinsoku/>
        <w:wordWrap/>
        <w:overflowPunct/>
        <w:topLinePunct w:val="0"/>
        <w:autoSpaceDE/>
        <w:autoSpaceDN/>
        <w:bidi w:val="0"/>
        <w:adjustRightInd w:val="0"/>
        <w:snapToGrid/>
        <w:spacing w:line="360" w:lineRule="auto"/>
        <w:textAlignment w:val="auto"/>
        <w:rPr>
          <w:rFonts w:hint="default" w:ascii="仿宋" w:hAnsi="仿宋" w:eastAsia="仿宋"/>
          <w:b/>
          <w:color w:val="auto"/>
          <w:kern w:val="0"/>
          <w:sz w:val="36"/>
          <w:szCs w:val="36"/>
          <w:lang w:val="en-US" w:eastAsia="zh-CN"/>
        </w:rPr>
      </w:pPr>
      <w:r>
        <w:rPr>
          <w:rFonts w:hint="eastAsia" w:ascii="仿宋" w:hAnsi="仿宋" w:eastAsia="仿宋"/>
          <w:b/>
          <w:color w:val="auto"/>
          <w:kern w:val="0"/>
          <w:sz w:val="36"/>
          <w:szCs w:val="36"/>
          <w:lang w:val="en-US" w:eastAsia="zh-CN"/>
        </w:rPr>
        <w:t>6  数字化教材项目</w:t>
      </w:r>
    </w:p>
    <w:p w14:paraId="5F9369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一、建设目标</w:t>
      </w:r>
    </w:p>
    <w:p w14:paraId="649F0A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为落实党的二十大精神和国家教育数字化战略行动，以教材形态转型升级激发教育潜能，实现数字教材建设与融合式教学模式改革协同发展</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打造一批内容上培根铸魂、启智增慧、适应时代要求，形式上立体化、形象化、智能化的精品数字教材，不断提高我校教材建设质量。</w:t>
      </w:r>
    </w:p>
    <w:p w14:paraId="13EC5A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二、立项原则</w:t>
      </w:r>
    </w:p>
    <w:p w14:paraId="008D95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一）坚持党的领导，以马克思列宁主义、毛泽东思想、邓小平理论、“三个代表”重要思想、科学发展观、习近平新时代中国特色社会主义思想为指导，有机融入党的二十大精神，努力构建中国特色、融通中外的概念范畴、理论范式和话语体系。</w:t>
      </w:r>
    </w:p>
    <w:p w14:paraId="009561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二）坚持育人为本，落实立德树人根本任务，遵循教育教学规律、人才成长规律，适应人才培养模式改革，将知识传授、能力培养与思想观念、理想信念教育有机融合，防范错误政治观点和思潮的影响，引导学生建立正确的世界观、人生观和价值观，树立共产主义远大理想和中国特色社会主义共同理想。</w:t>
      </w:r>
    </w:p>
    <w:p w14:paraId="7CB8D1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（三）坚持质量优先，立足我校优势教材及课程资源，以信息技术赋能推进适应教学方法改革的新形态教材建设。</w:t>
      </w:r>
    </w:p>
    <w:p w14:paraId="3DF0DD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三、申报要求</w:t>
      </w:r>
    </w:p>
    <w:p w14:paraId="0315F4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（一）申报类型</w:t>
      </w:r>
    </w:p>
    <w:p w14:paraId="1356CD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本次立项支持的数字教材是指充分利用现代信息技术，开发建设能够以视听化、互动式的方式开展教育教学的新形态教材。</w:t>
      </w:r>
      <w:r>
        <w:rPr>
          <w:rFonts w:hint="eastAsia" w:ascii="宋体" w:hAnsi="宋体" w:eastAsia="宋体" w:cs="宋体"/>
          <w:i w:val="0"/>
          <w:iCs w:val="0"/>
          <w:caps w:val="0"/>
          <w:color w:val="auto"/>
          <w:spacing w:val="0"/>
          <w:sz w:val="24"/>
          <w:szCs w:val="24"/>
          <w:lang w:val="en-US" w:eastAsia="zh-CN"/>
        </w:rPr>
        <w:t xml:space="preserve"> 主要包括：</w:t>
      </w:r>
    </w:p>
    <w:p w14:paraId="5926A866">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i w:val="0"/>
          <w:iCs w:val="0"/>
          <w:caps w:val="0"/>
          <w:strike w:val="0"/>
          <w:dstrike w:val="0"/>
          <w:color w:val="auto"/>
          <w:spacing w:val="0"/>
          <w:sz w:val="24"/>
          <w:szCs w:val="24"/>
          <w:u w:val="none"/>
          <w:lang w:eastAsia="zh-CN"/>
        </w:rPr>
      </w:pPr>
      <w:r>
        <w:rPr>
          <w:rFonts w:hint="eastAsia" w:ascii="宋体" w:hAnsi="宋体" w:eastAsia="宋体" w:cs="宋体"/>
          <w:i w:val="0"/>
          <w:iCs w:val="0"/>
          <w:caps w:val="0"/>
          <w:strike w:val="0"/>
          <w:dstrike w:val="0"/>
          <w:color w:val="auto"/>
          <w:spacing w:val="0"/>
          <w:sz w:val="24"/>
          <w:szCs w:val="24"/>
          <w:u w:val="none"/>
        </w:rPr>
        <w:t>传统经典教材的数字形态建设</w:t>
      </w:r>
      <w:r>
        <w:rPr>
          <w:rFonts w:hint="eastAsia" w:ascii="宋体" w:hAnsi="宋体" w:eastAsia="宋体" w:cs="宋体"/>
          <w:i w:val="0"/>
          <w:iCs w:val="0"/>
          <w:caps w:val="0"/>
          <w:strike w:val="0"/>
          <w:dstrike w:val="0"/>
          <w:color w:val="auto"/>
          <w:spacing w:val="0"/>
          <w:sz w:val="24"/>
          <w:szCs w:val="24"/>
          <w:u w:val="none"/>
          <w:lang w:eastAsia="zh-CN"/>
        </w:rPr>
        <w:t>。</w:t>
      </w:r>
    </w:p>
    <w:p w14:paraId="3F1F34A7">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i w:val="0"/>
          <w:iCs w:val="0"/>
          <w:caps w:val="0"/>
          <w:strike w:val="0"/>
          <w:dstrike w:val="0"/>
          <w:color w:val="auto"/>
          <w:spacing w:val="0"/>
          <w:sz w:val="24"/>
          <w:szCs w:val="24"/>
          <w:u w:val="none"/>
          <w:lang w:eastAsia="zh-CN"/>
        </w:rPr>
      </w:pPr>
      <w:r>
        <w:rPr>
          <w:rFonts w:hint="eastAsia" w:ascii="宋体" w:hAnsi="宋体" w:eastAsia="宋体" w:cs="宋体"/>
          <w:i w:val="0"/>
          <w:iCs w:val="0"/>
          <w:caps w:val="0"/>
          <w:strike w:val="0"/>
          <w:dstrike w:val="0"/>
          <w:color w:val="auto"/>
          <w:spacing w:val="0"/>
          <w:sz w:val="24"/>
          <w:szCs w:val="24"/>
          <w:u w:val="none"/>
        </w:rPr>
        <w:t>高水平课程的数字教材建设</w:t>
      </w:r>
      <w:r>
        <w:rPr>
          <w:rFonts w:hint="eastAsia" w:ascii="宋体" w:hAnsi="宋体" w:cs="宋体"/>
          <w:i w:val="0"/>
          <w:iCs w:val="0"/>
          <w:caps w:val="0"/>
          <w:strike w:val="0"/>
          <w:dstrike w:val="0"/>
          <w:color w:val="auto"/>
          <w:spacing w:val="0"/>
          <w:sz w:val="24"/>
          <w:szCs w:val="24"/>
          <w:u w:val="none"/>
          <w:lang w:eastAsia="zh-CN"/>
        </w:rPr>
        <w:t>。</w:t>
      </w:r>
    </w:p>
    <w:p w14:paraId="3C43D6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rPr>
        <w:t>（二）申报条件</w:t>
      </w:r>
    </w:p>
    <w:p w14:paraId="40EE74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lang w:val="en-US" w:eastAsia="zh-CN"/>
        </w:rPr>
        <w:t>教材编写实行主编负责制，申请项目者须担任教材主编。主编主持编写工作，对教</w:t>
      </w:r>
      <w:r>
        <w:rPr>
          <w:rFonts w:hint="eastAsia" w:ascii="宋体" w:hAnsi="宋体" w:eastAsia="宋体" w:cs="宋体"/>
          <w:i w:val="0"/>
          <w:iCs w:val="0"/>
          <w:caps w:val="0"/>
          <w:color w:val="auto"/>
          <w:spacing w:val="0"/>
          <w:sz w:val="24"/>
          <w:szCs w:val="24"/>
          <w:highlight w:val="none"/>
          <w:lang w:val="en-US" w:eastAsia="zh-CN"/>
        </w:rPr>
        <w:t>材总体质量负责，参编人员对所编写内容负责。原则上，教材主编须为本校在</w:t>
      </w:r>
      <w:r>
        <w:rPr>
          <w:rFonts w:hint="eastAsia" w:ascii="宋体" w:hAnsi="宋体" w:cs="宋体"/>
          <w:i w:val="0"/>
          <w:iCs w:val="0"/>
          <w:caps w:val="0"/>
          <w:color w:val="auto"/>
          <w:spacing w:val="0"/>
          <w:sz w:val="24"/>
          <w:szCs w:val="24"/>
          <w:highlight w:val="none"/>
          <w:lang w:val="en-US" w:eastAsia="zh-CN"/>
        </w:rPr>
        <w:t>职</w:t>
      </w:r>
      <w:r>
        <w:rPr>
          <w:rFonts w:hint="eastAsia" w:ascii="宋体" w:hAnsi="宋体" w:eastAsia="宋体" w:cs="宋体"/>
          <w:i w:val="0"/>
          <w:iCs w:val="0"/>
          <w:caps w:val="0"/>
          <w:color w:val="auto"/>
          <w:spacing w:val="0"/>
          <w:sz w:val="24"/>
          <w:szCs w:val="24"/>
          <w:highlight w:val="none"/>
          <w:lang w:val="en-US" w:eastAsia="zh-CN"/>
        </w:rPr>
        <w:t>教师，具有副高</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eastAsia="宋体" w:cs="宋体"/>
          <w:i w:val="0"/>
          <w:iCs w:val="0"/>
          <w:caps w:val="0"/>
          <w:color w:val="auto"/>
          <w:spacing w:val="0"/>
          <w:sz w:val="24"/>
          <w:szCs w:val="24"/>
          <w:highlight w:val="none"/>
          <w:lang w:val="en-US" w:eastAsia="zh-CN"/>
        </w:rPr>
        <w:t>以上职称，在本学科专业有深入研究和较高造诣，担任相关课程负责人，主讲相对应的课程两轮以上，熟悉教材编写工作。</w:t>
      </w:r>
    </w:p>
    <w:p w14:paraId="2F79FF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项目负责人与教材参编人员政治立场坚定，拥护中国共产党的领导，</w:t>
      </w:r>
      <w:r>
        <w:rPr>
          <w:rFonts w:hint="eastAsia" w:ascii="宋体" w:hAnsi="宋体" w:eastAsia="宋体" w:cs="宋体"/>
          <w:i w:val="0"/>
          <w:iCs w:val="0"/>
          <w:caps w:val="0"/>
          <w:color w:val="auto"/>
          <w:spacing w:val="0"/>
          <w:sz w:val="24"/>
          <w:szCs w:val="24"/>
        </w:rPr>
        <w:t>认同中国特色社会主义，自觉践行社会主义核心价值观。无违背党的理论和路线方针政策的言行，遵纪守法，有良好的思想品德、社会形象和师德师风。恪守学术道德，</w:t>
      </w:r>
      <w:r>
        <w:rPr>
          <w:rFonts w:hint="eastAsia" w:ascii="宋体" w:hAnsi="宋体" w:eastAsia="宋体" w:cs="宋体"/>
          <w:i w:val="0"/>
          <w:iCs w:val="0"/>
          <w:caps w:val="0"/>
          <w:color w:val="auto"/>
          <w:spacing w:val="0"/>
          <w:sz w:val="24"/>
          <w:szCs w:val="24"/>
          <w:lang w:val="en-US" w:eastAsia="zh-CN"/>
        </w:rPr>
        <w:t>无</w:t>
      </w:r>
      <w:r>
        <w:rPr>
          <w:rFonts w:hint="eastAsia" w:ascii="宋体" w:hAnsi="宋体" w:eastAsia="宋体" w:cs="宋体"/>
          <w:i w:val="0"/>
          <w:iCs w:val="0"/>
          <w:caps w:val="0"/>
          <w:color w:val="auto"/>
          <w:spacing w:val="0"/>
          <w:sz w:val="24"/>
          <w:szCs w:val="24"/>
        </w:rPr>
        <w:t>违法违纪记录或学术不端行为或师德师风问题。</w:t>
      </w:r>
    </w:p>
    <w:p w14:paraId="02839A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default"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3.有对应马工程教材的相关课程不列入项目立项范围。</w:t>
      </w:r>
    </w:p>
    <w:p w14:paraId="2D3789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lang w:val="en-US" w:eastAsia="zh-CN"/>
        </w:rPr>
        <w:t>四</w:t>
      </w:r>
      <w:r>
        <w:rPr>
          <w:rFonts w:hint="eastAsia" w:ascii="宋体" w:hAnsi="宋体" w:eastAsia="宋体" w:cs="宋体"/>
          <w:b/>
          <w:bCs/>
          <w:i w:val="0"/>
          <w:iCs w:val="0"/>
          <w:caps w:val="0"/>
          <w:color w:val="auto"/>
          <w:spacing w:val="0"/>
          <w:sz w:val="24"/>
          <w:szCs w:val="24"/>
        </w:rPr>
        <w:t>、工作要求</w:t>
      </w:r>
    </w:p>
    <w:p w14:paraId="73A75C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.传统经典教材的数字形态建设团队须形成完整的书稿修订方案，并做好融媒体资源整理、新建及改造工作，以表现形式多样的数字资源，推动教材立体化、形象化、智能化，更好服务信息化时代教育教学。</w:t>
      </w:r>
    </w:p>
    <w:p w14:paraId="7C6C5A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.高水平课程的数字教材建设团队须编写科学规范的教材文稿，推动线上资源及知识点的理论化、系统化、体系化，以教材的载体形式和使用方式有效承载、整合、输出优秀的线上教学资源。</w:t>
      </w:r>
    </w:p>
    <w:p w14:paraId="0AF2B7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出版单位自行联系，原则上应为一级出版社。出版时应在书中注明“本教材获铜陵学院教材建设项目立项资助”。出版教材须为具有书号的正式出版物，教材所有数字资源按教材和出版规范编修、审核与管理。数字资源和工具须部署在出版单位自主可控的公共服务平台上，平台按照国家有关规定备案，并确保数字资源安全，保证教材内容安全和系统运行安全，保障教材资源质量和服务质量。</w:t>
      </w:r>
    </w:p>
    <w:p w14:paraId="47FC18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.各教学单位对申报教材的基本信息进行审核，</w:t>
      </w:r>
      <w:r>
        <w:rPr>
          <w:rFonts w:hint="eastAsia" w:ascii="宋体" w:hAnsi="宋体" w:eastAsia="宋体" w:cs="宋体"/>
          <w:i w:val="0"/>
          <w:iCs w:val="0"/>
          <w:caps w:val="0"/>
          <w:color w:val="auto"/>
          <w:spacing w:val="0"/>
          <w:sz w:val="24"/>
          <w:szCs w:val="24"/>
          <w:highlight w:val="none"/>
          <w:lang w:val="en-US" w:eastAsia="zh-CN"/>
        </w:rPr>
        <w:t>二级学院（部）</w:t>
      </w:r>
      <w:r>
        <w:rPr>
          <w:rFonts w:hint="eastAsia" w:ascii="宋体" w:hAnsi="宋体" w:eastAsia="宋体" w:cs="宋体"/>
          <w:i w:val="0"/>
          <w:iCs w:val="0"/>
          <w:caps w:val="0"/>
          <w:color w:val="auto"/>
          <w:spacing w:val="0"/>
          <w:sz w:val="24"/>
          <w:szCs w:val="24"/>
          <w:highlight w:val="none"/>
        </w:rPr>
        <w:t>党委对编写团队及教材内容进行政治把关，教学委员会对教材内容进行学术把关。</w:t>
      </w:r>
    </w:p>
    <w:p w14:paraId="23238E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lang w:val="en-US" w:eastAsia="zh-CN"/>
        </w:rPr>
        <w:t>5.</w:t>
      </w:r>
      <w:r>
        <w:rPr>
          <w:rFonts w:hint="eastAsia" w:ascii="宋体" w:hAnsi="宋体" w:cs="宋体"/>
          <w:b w:val="0"/>
          <w:bCs w:val="0"/>
          <w:i w:val="0"/>
          <w:iCs w:val="0"/>
          <w:caps w:val="0"/>
          <w:color w:val="auto"/>
          <w:spacing w:val="0"/>
          <w:sz w:val="24"/>
          <w:szCs w:val="24"/>
          <w:lang w:val="en-US" w:eastAsia="zh-CN"/>
        </w:rPr>
        <w:t>在同等条件下，已经完成教材</w:t>
      </w:r>
      <w:r>
        <w:rPr>
          <w:rFonts w:hint="eastAsia" w:ascii="宋体" w:hAnsi="宋体" w:eastAsia="宋体" w:cs="宋体"/>
          <w:b w:val="0"/>
          <w:bCs w:val="0"/>
          <w:i w:val="0"/>
          <w:iCs w:val="0"/>
          <w:caps w:val="0"/>
          <w:color w:val="auto"/>
          <w:spacing w:val="0"/>
          <w:sz w:val="24"/>
          <w:szCs w:val="24"/>
          <w:lang w:val="en-US" w:eastAsia="zh-CN"/>
        </w:rPr>
        <w:t>编写</w:t>
      </w:r>
      <w:r>
        <w:rPr>
          <w:rFonts w:hint="eastAsia" w:ascii="宋体" w:hAnsi="宋体" w:cs="宋体"/>
          <w:b w:val="0"/>
          <w:bCs w:val="0"/>
          <w:i w:val="0"/>
          <w:iCs w:val="0"/>
          <w:caps w:val="0"/>
          <w:color w:val="auto"/>
          <w:spacing w:val="0"/>
          <w:sz w:val="24"/>
          <w:szCs w:val="24"/>
          <w:lang w:val="en-US" w:eastAsia="zh-CN"/>
        </w:rPr>
        <w:t>或</w:t>
      </w:r>
      <w:r>
        <w:rPr>
          <w:rFonts w:hint="eastAsia" w:ascii="宋体" w:hAnsi="宋体" w:eastAsia="宋体" w:cs="宋体"/>
          <w:b w:val="0"/>
          <w:bCs w:val="0"/>
          <w:i w:val="0"/>
          <w:iCs w:val="0"/>
          <w:caps w:val="0"/>
          <w:color w:val="auto"/>
          <w:spacing w:val="0"/>
          <w:sz w:val="24"/>
          <w:szCs w:val="24"/>
          <w:lang w:val="en-US" w:eastAsia="zh-CN"/>
        </w:rPr>
        <w:t>成功在出版社平台布置数字化教材的</w:t>
      </w:r>
      <w:r>
        <w:rPr>
          <w:rFonts w:hint="eastAsia" w:ascii="宋体" w:hAnsi="宋体" w:cs="宋体"/>
          <w:b w:val="0"/>
          <w:bCs w:val="0"/>
          <w:i w:val="0"/>
          <w:iCs w:val="0"/>
          <w:caps w:val="0"/>
          <w:color w:val="auto"/>
          <w:spacing w:val="0"/>
          <w:sz w:val="24"/>
          <w:szCs w:val="24"/>
          <w:lang w:val="en-US" w:eastAsia="zh-CN"/>
        </w:rPr>
        <w:t>优先立项</w:t>
      </w:r>
      <w:r>
        <w:rPr>
          <w:rFonts w:hint="eastAsia" w:ascii="宋体" w:hAnsi="宋体" w:eastAsia="宋体" w:cs="宋体"/>
          <w:b w:val="0"/>
          <w:bCs w:val="0"/>
          <w:i w:val="0"/>
          <w:iCs w:val="0"/>
          <w:caps w:val="0"/>
          <w:color w:val="auto"/>
          <w:spacing w:val="0"/>
          <w:sz w:val="24"/>
          <w:szCs w:val="24"/>
          <w:lang w:val="en-US" w:eastAsia="zh-CN"/>
        </w:rPr>
        <w:t>。</w:t>
      </w:r>
    </w:p>
    <w:p w14:paraId="40532F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五、结项管理</w:t>
      </w:r>
    </w:p>
    <w:p w14:paraId="6F2085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45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宋体" w:hAnsi="宋体" w:eastAsia="宋体" w:cs="宋体"/>
          <w:i w:val="0"/>
          <w:iCs w:val="0"/>
          <w:caps w:val="0"/>
          <w:color w:val="auto"/>
          <w:spacing w:val="0"/>
          <w:sz w:val="24"/>
          <w:szCs w:val="24"/>
        </w:rPr>
        <w:t>项目建设周期为</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eastAsia="zh-CN"/>
        </w:rPr>
        <w:t>。</w:t>
      </w:r>
      <w:r>
        <w:rPr>
          <w:rFonts w:hint="default" w:ascii="宋体" w:hAnsi="宋体" w:eastAsia="宋体" w:cs="宋体"/>
          <w:i w:val="0"/>
          <w:iCs w:val="0"/>
          <w:caps w:val="0"/>
          <w:color w:val="auto"/>
          <w:spacing w:val="0"/>
          <w:sz w:val="24"/>
          <w:szCs w:val="24"/>
        </w:rPr>
        <w:t>建设期满，各项目须完成数字教材的出版，并在相关服务平台上完成数字资源和工具的部署工作。</w:t>
      </w:r>
    </w:p>
    <w:p w14:paraId="6194C9DB">
      <w:pPr>
        <w:pageBreakBefore w:val="0"/>
        <w:widowControl/>
        <w:numPr>
          <w:ilvl w:val="0"/>
          <w:numId w:val="0"/>
        </w:numPr>
        <w:kinsoku/>
        <w:wordWrap/>
        <w:overflowPunct/>
        <w:topLinePunct w:val="0"/>
        <w:autoSpaceDE/>
        <w:autoSpaceDN/>
        <w:bidi w:val="0"/>
        <w:adjustRightInd w:val="0"/>
        <w:snapToGrid/>
        <w:spacing w:line="360" w:lineRule="auto"/>
        <w:textAlignment w:val="auto"/>
        <w:rPr>
          <w:rFonts w:hint="default"/>
          <w:color w:val="auto"/>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BAE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0FD4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0FD4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D95"/>
    <w:multiLevelType w:val="singleLevel"/>
    <w:tmpl w:val="801CFD95"/>
    <w:lvl w:ilvl="0" w:tentative="0">
      <w:start w:val="6"/>
      <w:numFmt w:val="decimal"/>
      <w:lvlText w:val="%1."/>
      <w:lvlJc w:val="left"/>
      <w:pPr>
        <w:tabs>
          <w:tab w:val="left" w:pos="312"/>
        </w:tabs>
      </w:pPr>
    </w:lvl>
  </w:abstractNum>
  <w:abstractNum w:abstractNumId="1">
    <w:nsid w:val="39136179"/>
    <w:multiLevelType w:val="singleLevel"/>
    <w:tmpl w:val="3913617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ZTQ5NTRmY2VmY2I5NGYwNmJmODhkOTQ0MzMzMTkifQ=="/>
  </w:docVars>
  <w:rsids>
    <w:rsidRoot w:val="4DAD1201"/>
    <w:rsid w:val="00044EF2"/>
    <w:rsid w:val="00211E4C"/>
    <w:rsid w:val="003532FE"/>
    <w:rsid w:val="00425A1B"/>
    <w:rsid w:val="00577718"/>
    <w:rsid w:val="00586FEC"/>
    <w:rsid w:val="006D6F3B"/>
    <w:rsid w:val="00847DE1"/>
    <w:rsid w:val="009701C0"/>
    <w:rsid w:val="00B20DF2"/>
    <w:rsid w:val="00B561ED"/>
    <w:rsid w:val="00BA3803"/>
    <w:rsid w:val="00DC521D"/>
    <w:rsid w:val="0126160D"/>
    <w:rsid w:val="01571715"/>
    <w:rsid w:val="015754F6"/>
    <w:rsid w:val="017C6D0A"/>
    <w:rsid w:val="01967485"/>
    <w:rsid w:val="01C20BC1"/>
    <w:rsid w:val="01F3521E"/>
    <w:rsid w:val="01F9035B"/>
    <w:rsid w:val="01FD42EF"/>
    <w:rsid w:val="020411DA"/>
    <w:rsid w:val="0213766F"/>
    <w:rsid w:val="02184C85"/>
    <w:rsid w:val="021F7DC1"/>
    <w:rsid w:val="02A227A1"/>
    <w:rsid w:val="02A429BD"/>
    <w:rsid w:val="02E64F0B"/>
    <w:rsid w:val="02F0175E"/>
    <w:rsid w:val="033A4BEF"/>
    <w:rsid w:val="034D4E02"/>
    <w:rsid w:val="03653EFA"/>
    <w:rsid w:val="036C6EDE"/>
    <w:rsid w:val="03AD58A1"/>
    <w:rsid w:val="03DC51D3"/>
    <w:rsid w:val="04155920"/>
    <w:rsid w:val="04673937"/>
    <w:rsid w:val="049525BD"/>
    <w:rsid w:val="04EE7093"/>
    <w:rsid w:val="05537D0A"/>
    <w:rsid w:val="056106F1"/>
    <w:rsid w:val="05726749"/>
    <w:rsid w:val="058A2288"/>
    <w:rsid w:val="058F1702"/>
    <w:rsid w:val="059B1E55"/>
    <w:rsid w:val="05E337FC"/>
    <w:rsid w:val="05FC4982"/>
    <w:rsid w:val="061D286A"/>
    <w:rsid w:val="064C13A1"/>
    <w:rsid w:val="0689271A"/>
    <w:rsid w:val="06C158EB"/>
    <w:rsid w:val="06C278B5"/>
    <w:rsid w:val="06F175C0"/>
    <w:rsid w:val="06F86E33"/>
    <w:rsid w:val="073562D9"/>
    <w:rsid w:val="07AE1028"/>
    <w:rsid w:val="07C531B9"/>
    <w:rsid w:val="08183C31"/>
    <w:rsid w:val="08206641"/>
    <w:rsid w:val="0831084F"/>
    <w:rsid w:val="08495703"/>
    <w:rsid w:val="087B41C0"/>
    <w:rsid w:val="087B5F6E"/>
    <w:rsid w:val="08966904"/>
    <w:rsid w:val="08D15B8E"/>
    <w:rsid w:val="08E41D65"/>
    <w:rsid w:val="08F71A98"/>
    <w:rsid w:val="08FF094D"/>
    <w:rsid w:val="091C0974"/>
    <w:rsid w:val="09242161"/>
    <w:rsid w:val="09554A11"/>
    <w:rsid w:val="0A0F2E11"/>
    <w:rsid w:val="0A0F3905"/>
    <w:rsid w:val="0A1713F4"/>
    <w:rsid w:val="0A2148F3"/>
    <w:rsid w:val="0A540824"/>
    <w:rsid w:val="0ADF27E4"/>
    <w:rsid w:val="0B330D82"/>
    <w:rsid w:val="0B8C422C"/>
    <w:rsid w:val="0B9C6927"/>
    <w:rsid w:val="0B9F01C5"/>
    <w:rsid w:val="0C1F363C"/>
    <w:rsid w:val="0C225714"/>
    <w:rsid w:val="0C5F68B3"/>
    <w:rsid w:val="0C923886"/>
    <w:rsid w:val="0C9F66CF"/>
    <w:rsid w:val="0CB11F5E"/>
    <w:rsid w:val="0CEC7B51"/>
    <w:rsid w:val="0D3A01A5"/>
    <w:rsid w:val="0D6214AA"/>
    <w:rsid w:val="0D7C07BE"/>
    <w:rsid w:val="0DA47D15"/>
    <w:rsid w:val="0DD77874"/>
    <w:rsid w:val="0DE819AF"/>
    <w:rsid w:val="0E2F3A82"/>
    <w:rsid w:val="0E670ABD"/>
    <w:rsid w:val="0EDD528C"/>
    <w:rsid w:val="0EEA1757"/>
    <w:rsid w:val="0F0D5446"/>
    <w:rsid w:val="0F9F0794"/>
    <w:rsid w:val="0FC401FA"/>
    <w:rsid w:val="0FDA7A1E"/>
    <w:rsid w:val="0FE144E8"/>
    <w:rsid w:val="0FFF7484"/>
    <w:rsid w:val="100F1591"/>
    <w:rsid w:val="10646263"/>
    <w:rsid w:val="11052878"/>
    <w:rsid w:val="11211BDA"/>
    <w:rsid w:val="11290C5D"/>
    <w:rsid w:val="11407D54"/>
    <w:rsid w:val="11535CDA"/>
    <w:rsid w:val="11A27578"/>
    <w:rsid w:val="12026AEA"/>
    <w:rsid w:val="125714E8"/>
    <w:rsid w:val="12723F3D"/>
    <w:rsid w:val="12850115"/>
    <w:rsid w:val="128F15C7"/>
    <w:rsid w:val="12971BF6"/>
    <w:rsid w:val="12B44556"/>
    <w:rsid w:val="12D06EB6"/>
    <w:rsid w:val="12EA7F78"/>
    <w:rsid w:val="12EF1A32"/>
    <w:rsid w:val="13477178"/>
    <w:rsid w:val="138A52B7"/>
    <w:rsid w:val="13B9516F"/>
    <w:rsid w:val="13C01EFD"/>
    <w:rsid w:val="13CC66FB"/>
    <w:rsid w:val="13E74E94"/>
    <w:rsid w:val="140137CB"/>
    <w:rsid w:val="14076907"/>
    <w:rsid w:val="144204BF"/>
    <w:rsid w:val="145C4EA5"/>
    <w:rsid w:val="146009BD"/>
    <w:rsid w:val="14641FAC"/>
    <w:rsid w:val="14A34882"/>
    <w:rsid w:val="14A44C48"/>
    <w:rsid w:val="14F52C04"/>
    <w:rsid w:val="153B2D0D"/>
    <w:rsid w:val="153F6304"/>
    <w:rsid w:val="15B80E69"/>
    <w:rsid w:val="15DC724A"/>
    <w:rsid w:val="15EA028F"/>
    <w:rsid w:val="160457F4"/>
    <w:rsid w:val="162A135F"/>
    <w:rsid w:val="167B78AA"/>
    <w:rsid w:val="16DB47A7"/>
    <w:rsid w:val="173E7FFA"/>
    <w:rsid w:val="17604CAC"/>
    <w:rsid w:val="17836BED"/>
    <w:rsid w:val="17A74689"/>
    <w:rsid w:val="17BD5E70"/>
    <w:rsid w:val="17F17FFA"/>
    <w:rsid w:val="17F65611"/>
    <w:rsid w:val="180E295A"/>
    <w:rsid w:val="18383533"/>
    <w:rsid w:val="18832F2E"/>
    <w:rsid w:val="18A60DE5"/>
    <w:rsid w:val="18C96881"/>
    <w:rsid w:val="18F30B9E"/>
    <w:rsid w:val="19081158"/>
    <w:rsid w:val="191108A3"/>
    <w:rsid w:val="191E4E1F"/>
    <w:rsid w:val="19A81450"/>
    <w:rsid w:val="19DF45AE"/>
    <w:rsid w:val="19FA13E8"/>
    <w:rsid w:val="19FF1E84"/>
    <w:rsid w:val="1A163D48"/>
    <w:rsid w:val="1A4E703E"/>
    <w:rsid w:val="1AAE4F7B"/>
    <w:rsid w:val="1AD00714"/>
    <w:rsid w:val="1AD4263E"/>
    <w:rsid w:val="1AD5775F"/>
    <w:rsid w:val="1B544B28"/>
    <w:rsid w:val="1B7E7DF7"/>
    <w:rsid w:val="1BF2581B"/>
    <w:rsid w:val="1BF41E67"/>
    <w:rsid w:val="1C580648"/>
    <w:rsid w:val="1C940F54"/>
    <w:rsid w:val="1CBB139D"/>
    <w:rsid w:val="1CC051B7"/>
    <w:rsid w:val="1D1F2F14"/>
    <w:rsid w:val="1D65301C"/>
    <w:rsid w:val="1D954F84"/>
    <w:rsid w:val="1DA72E39"/>
    <w:rsid w:val="1DC0677D"/>
    <w:rsid w:val="1E8376BA"/>
    <w:rsid w:val="1E892D3B"/>
    <w:rsid w:val="1EB51D82"/>
    <w:rsid w:val="1ECA6EAF"/>
    <w:rsid w:val="1ED536AB"/>
    <w:rsid w:val="1EE44415"/>
    <w:rsid w:val="1EE93DB3"/>
    <w:rsid w:val="1EF02DBA"/>
    <w:rsid w:val="1F130856"/>
    <w:rsid w:val="1F224640"/>
    <w:rsid w:val="1F4B7FF0"/>
    <w:rsid w:val="1FA553CC"/>
    <w:rsid w:val="1FC61D6D"/>
    <w:rsid w:val="1FDF698A"/>
    <w:rsid w:val="1FE12702"/>
    <w:rsid w:val="2000702C"/>
    <w:rsid w:val="201B3D4D"/>
    <w:rsid w:val="203647FC"/>
    <w:rsid w:val="214178FD"/>
    <w:rsid w:val="21466CC1"/>
    <w:rsid w:val="21486EDD"/>
    <w:rsid w:val="21787096"/>
    <w:rsid w:val="217B15C6"/>
    <w:rsid w:val="219100AF"/>
    <w:rsid w:val="21AD6FC6"/>
    <w:rsid w:val="21BF0821"/>
    <w:rsid w:val="21D7200F"/>
    <w:rsid w:val="220152DE"/>
    <w:rsid w:val="2208041A"/>
    <w:rsid w:val="22274D44"/>
    <w:rsid w:val="22525B39"/>
    <w:rsid w:val="22AC349C"/>
    <w:rsid w:val="22B32703"/>
    <w:rsid w:val="22F453DF"/>
    <w:rsid w:val="22FE4C9E"/>
    <w:rsid w:val="233A2855"/>
    <w:rsid w:val="23517B9F"/>
    <w:rsid w:val="237613B4"/>
    <w:rsid w:val="23BA163B"/>
    <w:rsid w:val="23E46C65"/>
    <w:rsid w:val="244B45EE"/>
    <w:rsid w:val="246B4C91"/>
    <w:rsid w:val="24C83E91"/>
    <w:rsid w:val="252655F0"/>
    <w:rsid w:val="25641E0C"/>
    <w:rsid w:val="256A4F48"/>
    <w:rsid w:val="2593624D"/>
    <w:rsid w:val="25E829F7"/>
    <w:rsid w:val="25F3318F"/>
    <w:rsid w:val="268A58A2"/>
    <w:rsid w:val="26AA5F44"/>
    <w:rsid w:val="26C0774B"/>
    <w:rsid w:val="271909D4"/>
    <w:rsid w:val="273677D8"/>
    <w:rsid w:val="278247CB"/>
    <w:rsid w:val="27930786"/>
    <w:rsid w:val="27B76947"/>
    <w:rsid w:val="27E8025A"/>
    <w:rsid w:val="27E93145"/>
    <w:rsid w:val="28060F58"/>
    <w:rsid w:val="28445F24"/>
    <w:rsid w:val="28506677"/>
    <w:rsid w:val="28940C5A"/>
    <w:rsid w:val="28A5440B"/>
    <w:rsid w:val="28E15521"/>
    <w:rsid w:val="28EF40E2"/>
    <w:rsid w:val="29187D76"/>
    <w:rsid w:val="29787C34"/>
    <w:rsid w:val="29905E04"/>
    <w:rsid w:val="29B06548"/>
    <w:rsid w:val="29B36EBE"/>
    <w:rsid w:val="29CC53AF"/>
    <w:rsid w:val="29E057D9"/>
    <w:rsid w:val="2A750617"/>
    <w:rsid w:val="2AA367FE"/>
    <w:rsid w:val="2AAD4C66"/>
    <w:rsid w:val="2AB23619"/>
    <w:rsid w:val="2AC5334C"/>
    <w:rsid w:val="2B0A5203"/>
    <w:rsid w:val="2B703976"/>
    <w:rsid w:val="2B764647"/>
    <w:rsid w:val="2B8723B0"/>
    <w:rsid w:val="2B9E2D40"/>
    <w:rsid w:val="2BE05F64"/>
    <w:rsid w:val="2C5524AE"/>
    <w:rsid w:val="2C8B2374"/>
    <w:rsid w:val="2CF62FBE"/>
    <w:rsid w:val="2D0839C4"/>
    <w:rsid w:val="2D6329A9"/>
    <w:rsid w:val="2D665296"/>
    <w:rsid w:val="2D6C0B0B"/>
    <w:rsid w:val="2D8C0AA2"/>
    <w:rsid w:val="2DA27975"/>
    <w:rsid w:val="2DA76D39"/>
    <w:rsid w:val="2DB96A6D"/>
    <w:rsid w:val="2DD12008"/>
    <w:rsid w:val="2DDD275B"/>
    <w:rsid w:val="2DED6716"/>
    <w:rsid w:val="2DFB1E41"/>
    <w:rsid w:val="2E0A72C8"/>
    <w:rsid w:val="2E2E2FB7"/>
    <w:rsid w:val="2E4E18AB"/>
    <w:rsid w:val="2E5642BC"/>
    <w:rsid w:val="2E76495E"/>
    <w:rsid w:val="2E913546"/>
    <w:rsid w:val="2F1F6DA3"/>
    <w:rsid w:val="2F266384"/>
    <w:rsid w:val="2F4B7B98"/>
    <w:rsid w:val="2F4F0C27"/>
    <w:rsid w:val="2F8337D6"/>
    <w:rsid w:val="2F855C44"/>
    <w:rsid w:val="2FA71273"/>
    <w:rsid w:val="2FF65D56"/>
    <w:rsid w:val="30354AD0"/>
    <w:rsid w:val="305303BD"/>
    <w:rsid w:val="3106021B"/>
    <w:rsid w:val="31350B00"/>
    <w:rsid w:val="317433D6"/>
    <w:rsid w:val="31744490"/>
    <w:rsid w:val="31790C59"/>
    <w:rsid w:val="31A041CB"/>
    <w:rsid w:val="31B47C77"/>
    <w:rsid w:val="31DB4923"/>
    <w:rsid w:val="31DD45C5"/>
    <w:rsid w:val="31F462C5"/>
    <w:rsid w:val="321B1AA4"/>
    <w:rsid w:val="32256095"/>
    <w:rsid w:val="323D7C6C"/>
    <w:rsid w:val="32494863"/>
    <w:rsid w:val="3288071E"/>
    <w:rsid w:val="32BD2B5B"/>
    <w:rsid w:val="32D00AE0"/>
    <w:rsid w:val="331D7A9E"/>
    <w:rsid w:val="332B5D17"/>
    <w:rsid w:val="3330157F"/>
    <w:rsid w:val="33323549"/>
    <w:rsid w:val="33694A91"/>
    <w:rsid w:val="33802506"/>
    <w:rsid w:val="338813BB"/>
    <w:rsid w:val="33A855B9"/>
    <w:rsid w:val="34050C5E"/>
    <w:rsid w:val="34240B2E"/>
    <w:rsid w:val="342E2692"/>
    <w:rsid w:val="34515C51"/>
    <w:rsid w:val="34645984"/>
    <w:rsid w:val="34A83397"/>
    <w:rsid w:val="34AF4725"/>
    <w:rsid w:val="34B8182C"/>
    <w:rsid w:val="34BA37F6"/>
    <w:rsid w:val="34BE2416"/>
    <w:rsid w:val="34C226AB"/>
    <w:rsid w:val="3548749A"/>
    <w:rsid w:val="357207F2"/>
    <w:rsid w:val="35867971"/>
    <w:rsid w:val="35C506A4"/>
    <w:rsid w:val="35D42696"/>
    <w:rsid w:val="36176D33"/>
    <w:rsid w:val="368F5288"/>
    <w:rsid w:val="36963171"/>
    <w:rsid w:val="36A22794"/>
    <w:rsid w:val="36B204FD"/>
    <w:rsid w:val="36E97FA0"/>
    <w:rsid w:val="37023677"/>
    <w:rsid w:val="371D006C"/>
    <w:rsid w:val="374049B2"/>
    <w:rsid w:val="376E2676"/>
    <w:rsid w:val="37CC5A57"/>
    <w:rsid w:val="37D7646D"/>
    <w:rsid w:val="37EF7C5B"/>
    <w:rsid w:val="37F952C8"/>
    <w:rsid w:val="382D42DF"/>
    <w:rsid w:val="388F4F9A"/>
    <w:rsid w:val="38912BFC"/>
    <w:rsid w:val="38AA5930"/>
    <w:rsid w:val="38E075A3"/>
    <w:rsid w:val="39416688"/>
    <w:rsid w:val="3A18773C"/>
    <w:rsid w:val="3A6164C2"/>
    <w:rsid w:val="3AC31CD6"/>
    <w:rsid w:val="3AC3717D"/>
    <w:rsid w:val="3AEF7F72"/>
    <w:rsid w:val="3B057795"/>
    <w:rsid w:val="3B3911ED"/>
    <w:rsid w:val="3B726878"/>
    <w:rsid w:val="3B7F30A4"/>
    <w:rsid w:val="3BB56351"/>
    <w:rsid w:val="3BD50F16"/>
    <w:rsid w:val="3C26357D"/>
    <w:rsid w:val="3C3519B4"/>
    <w:rsid w:val="3C430575"/>
    <w:rsid w:val="3C805325"/>
    <w:rsid w:val="3CAD1E92"/>
    <w:rsid w:val="3CCD25FD"/>
    <w:rsid w:val="3CCD6091"/>
    <w:rsid w:val="3CD80D10"/>
    <w:rsid w:val="3CF950D8"/>
    <w:rsid w:val="3D202664"/>
    <w:rsid w:val="3D453E79"/>
    <w:rsid w:val="3D5B54D9"/>
    <w:rsid w:val="3D5E4F3B"/>
    <w:rsid w:val="3D6764E5"/>
    <w:rsid w:val="3D926193"/>
    <w:rsid w:val="3DDB658B"/>
    <w:rsid w:val="3DDC17F2"/>
    <w:rsid w:val="3E165E8E"/>
    <w:rsid w:val="3E2E79D4"/>
    <w:rsid w:val="3E5500EC"/>
    <w:rsid w:val="3EA7589C"/>
    <w:rsid w:val="3ECF7E9E"/>
    <w:rsid w:val="3EFE36CE"/>
    <w:rsid w:val="3F070E49"/>
    <w:rsid w:val="3F0C1519"/>
    <w:rsid w:val="3F312907"/>
    <w:rsid w:val="403812B4"/>
    <w:rsid w:val="40662A84"/>
    <w:rsid w:val="409D5D7A"/>
    <w:rsid w:val="40F260C6"/>
    <w:rsid w:val="40F462E2"/>
    <w:rsid w:val="40F46B54"/>
    <w:rsid w:val="414F52C6"/>
    <w:rsid w:val="41720FB5"/>
    <w:rsid w:val="417B60BB"/>
    <w:rsid w:val="41A01FC6"/>
    <w:rsid w:val="41AC61D6"/>
    <w:rsid w:val="41FD11C6"/>
    <w:rsid w:val="421502BE"/>
    <w:rsid w:val="429F402B"/>
    <w:rsid w:val="42EB7271"/>
    <w:rsid w:val="431542ED"/>
    <w:rsid w:val="432B3415"/>
    <w:rsid w:val="43506946"/>
    <w:rsid w:val="435102E3"/>
    <w:rsid w:val="43525542"/>
    <w:rsid w:val="43A33C8C"/>
    <w:rsid w:val="43B12268"/>
    <w:rsid w:val="43CA50D8"/>
    <w:rsid w:val="43FB34E3"/>
    <w:rsid w:val="445826E4"/>
    <w:rsid w:val="44654E01"/>
    <w:rsid w:val="447C185E"/>
    <w:rsid w:val="4489348C"/>
    <w:rsid w:val="4493196E"/>
    <w:rsid w:val="44CA6123"/>
    <w:rsid w:val="44F5491B"/>
    <w:rsid w:val="453B5FB7"/>
    <w:rsid w:val="454669E0"/>
    <w:rsid w:val="454D49ED"/>
    <w:rsid w:val="458A4B1F"/>
    <w:rsid w:val="459F181B"/>
    <w:rsid w:val="45A34DF4"/>
    <w:rsid w:val="45D64208"/>
    <w:rsid w:val="4652461A"/>
    <w:rsid w:val="469C7200"/>
    <w:rsid w:val="46F81F5C"/>
    <w:rsid w:val="470D1EAB"/>
    <w:rsid w:val="471548BC"/>
    <w:rsid w:val="47A53E92"/>
    <w:rsid w:val="47E777A3"/>
    <w:rsid w:val="48272AF9"/>
    <w:rsid w:val="48417F1F"/>
    <w:rsid w:val="484E555F"/>
    <w:rsid w:val="485C43B1"/>
    <w:rsid w:val="487E726E"/>
    <w:rsid w:val="48EB7FCA"/>
    <w:rsid w:val="48F52BF7"/>
    <w:rsid w:val="4924528A"/>
    <w:rsid w:val="492E7EB7"/>
    <w:rsid w:val="494D2A33"/>
    <w:rsid w:val="49647D7D"/>
    <w:rsid w:val="49951CE4"/>
    <w:rsid w:val="49AC538B"/>
    <w:rsid w:val="49B06B1E"/>
    <w:rsid w:val="49DA3B9B"/>
    <w:rsid w:val="4A842484"/>
    <w:rsid w:val="4AB12B4E"/>
    <w:rsid w:val="4AF60EA8"/>
    <w:rsid w:val="4B641648"/>
    <w:rsid w:val="4B863FDA"/>
    <w:rsid w:val="4B8B339F"/>
    <w:rsid w:val="4B9304A5"/>
    <w:rsid w:val="4C327CBE"/>
    <w:rsid w:val="4C5C2F8D"/>
    <w:rsid w:val="4C673E0C"/>
    <w:rsid w:val="4CB357BF"/>
    <w:rsid w:val="4CCF375F"/>
    <w:rsid w:val="4CF72B7B"/>
    <w:rsid w:val="4D1D0480"/>
    <w:rsid w:val="4D41465D"/>
    <w:rsid w:val="4D8A4C03"/>
    <w:rsid w:val="4DAD1201"/>
    <w:rsid w:val="4DC72E5F"/>
    <w:rsid w:val="4DE33966"/>
    <w:rsid w:val="4E0538DC"/>
    <w:rsid w:val="4E28581D"/>
    <w:rsid w:val="4E473EF5"/>
    <w:rsid w:val="4E5C7274"/>
    <w:rsid w:val="4E6C395B"/>
    <w:rsid w:val="4E810A89"/>
    <w:rsid w:val="4E8A3DE2"/>
    <w:rsid w:val="4EE63D45"/>
    <w:rsid w:val="4EFB083B"/>
    <w:rsid w:val="4F082F58"/>
    <w:rsid w:val="4F127867"/>
    <w:rsid w:val="4F18319B"/>
    <w:rsid w:val="4F4246BC"/>
    <w:rsid w:val="4FCC3E6A"/>
    <w:rsid w:val="4FCE5F50"/>
    <w:rsid w:val="4FEF6B40"/>
    <w:rsid w:val="4FF37764"/>
    <w:rsid w:val="50137E07"/>
    <w:rsid w:val="501E6ED7"/>
    <w:rsid w:val="5039786D"/>
    <w:rsid w:val="50487AB0"/>
    <w:rsid w:val="5053777D"/>
    <w:rsid w:val="505F4DFA"/>
    <w:rsid w:val="5075461D"/>
    <w:rsid w:val="50773505"/>
    <w:rsid w:val="50AC44E3"/>
    <w:rsid w:val="50BB2978"/>
    <w:rsid w:val="512247A5"/>
    <w:rsid w:val="512D6CA6"/>
    <w:rsid w:val="5139389D"/>
    <w:rsid w:val="51614721"/>
    <w:rsid w:val="51705511"/>
    <w:rsid w:val="517F5754"/>
    <w:rsid w:val="51835FBF"/>
    <w:rsid w:val="51D3784E"/>
    <w:rsid w:val="51DD691E"/>
    <w:rsid w:val="51E97071"/>
    <w:rsid w:val="51F07D1F"/>
    <w:rsid w:val="52173BDE"/>
    <w:rsid w:val="523E560F"/>
    <w:rsid w:val="52B94C95"/>
    <w:rsid w:val="52DA1182"/>
    <w:rsid w:val="52DC1950"/>
    <w:rsid w:val="530C3017"/>
    <w:rsid w:val="531719BC"/>
    <w:rsid w:val="53191BD8"/>
    <w:rsid w:val="53283BC9"/>
    <w:rsid w:val="534A3B3F"/>
    <w:rsid w:val="535C1400"/>
    <w:rsid w:val="539B083F"/>
    <w:rsid w:val="53B96779"/>
    <w:rsid w:val="53DC50DF"/>
    <w:rsid w:val="53FA5565"/>
    <w:rsid w:val="5425031B"/>
    <w:rsid w:val="54332825"/>
    <w:rsid w:val="54442C85"/>
    <w:rsid w:val="544946C7"/>
    <w:rsid w:val="54774E08"/>
    <w:rsid w:val="54AF6350"/>
    <w:rsid w:val="54B90FC5"/>
    <w:rsid w:val="55085A60"/>
    <w:rsid w:val="550B7314"/>
    <w:rsid w:val="551C775D"/>
    <w:rsid w:val="5593479C"/>
    <w:rsid w:val="55A106D3"/>
    <w:rsid w:val="55DB4F23"/>
    <w:rsid w:val="56295F64"/>
    <w:rsid w:val="564E3947"/>
    <w:rsid w:val="565D1DDC"/>
    <w:rsid w:val="56877B05"/>
    <w:rsid w:val="56C1236A"/>
    <w:rsid w:val="56D05146"/>
    <w:rsid w:val="56D95906"/>
    <w:rsid w:val="57346FE0"/>
    <w:rsid w:val="574F7976"/>
    <w:rsid w:val="57C2639A"/>
    <w:rsid w:val="57D367F9"/>
    <w:rsid w:val="57D936E4"/>
    <w:rsid w:val="57E52089"/>
    <w:rsid w:val="582901C7"/>
    <w:rsid w:val="582B2191"/>
    <w:rsid w:val="584C035A"/>
    <w:rsid w:val="588E0972"/>
    <w:rsid w:val="58E530CE"/>
    <w:rsid w:val="591A5DA5"/>
    <w:rsid w:val="595C281E"/>
    <w:rsid w:val="596040BD"/>
    <w:rsid w:val="5973309F"/>
    <w:rsid w:val="59C75EEA"/>
    <w:rsid w:val="59E72EC7"/>
    <w:rsid w:val="5A1E1882"/>
    <w:rsid w:val="5A647BDD"/>
    <w:rsid w:val="5A9009D2"/>
    <w:rsid w:val="5ADF7263"/>
    <w:rsid w:val="5B1F1D55"/>
    <w:rsid w:val="5BAB5397"/>
    <w:rsid w:val="5BC326E1"/>
    <w:rsid w:val="5BFB1E7B"/>
    <w:rsid w:val="5C121CA4"/>
    <w:rsid w:val="5C1843D5"/>
    <w:rsid w:val="5C3435DF"/>
    <w:rsid w:val="5C553C81"/>
    <w:rsid w:val="5C644F44"/>
    <w:rsid w:val="5CA442C0"/>
    <w:rsid w:val="5CE172C2"/>
    <w:rsid w:val="5D186A5C"/>
    <w:rsid w:val="5D2C42B6"/>
    <w:rsid w:val="5D8D2FA6"/>
    <w:rsid w:val="5D9B5A9B"/>
    <w:rsid w:val="5DB37B76"/>
    <w:rsid w:val="5DE60909"/>
    <w:rsid w:val="5DE86A07"/>
    <w:rsid w:val="5E0276B2"/>
    <w:rsid w:val="5EF808F3"/>
    <w:rsid w:val="5F3F4774"/>
    <w:rsid w:val="5F4E67B3"/>
    <w:rsid w:val="5F685A79"/>
    <w:rsid w:val="5F930CBD"/>
    <w:rsid w:val="5FB7255D"/>
    <w:rsid w:val="5FC52ECB"/>
    <w:rsid w:val="600F2399"/>
    <w:rsid w:val="60285208"/>
    <w:rsid w:val="60590403"/>
    <w:rsid w:val="6065645C"/>
    <w:rsid w:val="60934D78"/>
    <w:rsid w:val="6095569C"/>
    <w:rsid w:val="60A7492F"/>
    <w:rsid w:val="60D4195D"/>
    <w:rsid w:val="611D0AE5"/>
    <w:rsid w:val="61A467CC"/>
    <w:rsid w:val="61BB2E36"/>
    <w:rsid w:val="61CE1DDF"/>
    <w:rsid w:val="622070EB"/>
    <w:rsid w:val="624A76B8"/>
    <w:rsid w:val="626A5FAC"/>
    <w:rsid w:val="62774BA3"/>
    <w:rsid w:val="62D022B3"/>
    <w:rsid w:val="62D17DD9"/>
    <w:rsid w:val="6306451B"/>
    <w:rsid w:val="631F0B45"/>
    <w:rsid w:val="632729BD"/>
    <w:rsid w:val="63312626"/>
    <w:rsid w:val="63696264"/>
    <w:rsid w:val="63716EC6"/>
    <w:rsid w:val="6373359C"/>
    <w:rsid w:val="637644DD"/>
    <w:rsid w:val="637C5F97"/>
    <w:rsid w:val="6388493C"/>
    <w:rsid w:val="63AB23D8"/>
    <w:rsid w:val="63C27722"/>
    <w:rsid w:val="63CE4319"/>
    <w:rsid w:val="63D97B78"/>
    <w:rsid w:val="63DA4A6C"/>
    <w:rsid w:val="63FE35D7"/>
    <w:rsid w:val="64063AB3"/>
    <w:rsid w:val="64485E79"/>
    <w:rsid w:val="64AB1D46"/>
    <w:rsid w:val="64B63B65"/>
    <w:rsid w:val="64D911C7"/>
    <w:rsid w:val="64F65BB3"/>
    <w:rsid w:val="650049A6"/>
    <w:rsid w:val="650C6EA7"/>
    <w:rsid w:val="656B3DD2"/>
    <w:rsid w:val="65AE5923"/>
    <w:rsid w:val="65F750F0"/>
    <w:rsid w:val="6612673F"/>
    <w:rsid w:val="66AD290B"/>
    <w:rsid w:val="67705E13"/>
    <w:rsid w:val="678E44EB"/>
    <w:rsid w:val="679766E8"/>
    <w:rsid w:val="67B30841"/>
    <w:rsid w:val="67D14FA8"/>
    <w:rsid w:val="684D7F02"/>
    <w:rsid w:val="689543F4"/>
    <w:rsid w:val="68BE602D"/>
    <w:rsid w:val="68CD4B9F"/>
    <w:rsid w:val="68ED5241"/>
    <w:rsid w:val="68EF4B15"/>
    <w:rsid w:val="68F16ADF"/>
    <w:rsid w:val="691E364C"/>
    <w:rsid w:val="692400BC"/>
    <w:rsid w:val="695C55AD"/>
    <w:rsid w:val="696C085C"/>
    <w:rsid w:val="696C43B8"/>
    <w:rsid w:val="69796AD5"/>
    <w:rsid w:val="69E126A2"/>
    <w:rsid w:val="6A1A3E14"/>
    <w:rsid w:val="6A3C1FDC"/>
    <w:rsid w:val="6A49294B"/>
    <w:rsid w:val="6A995680"/>
    <w:rsid w:val="6ADA35A3"/>
    <w:rsid w:val="6B056872"/>
    <w:rsid w:val="6B223510"/>
    <w:rsid w:val="6B3715F5"/>
    <w:rsid w:val="6B5477F9"/>
    <w:rsid w:val="6B9E2823"/>
    <w:rsid w:val="6BE24E05"/>
    <w:rsid w:val="6BFB7C75"/>
    <w:rsid w:val="6C6B6BA9"/>
    <w:rsid w:val="6CAE2F39"/>
    <w:rsid w:val="6CB6656B"/>
    <w:rsid w:val="6CC30793"/>
    <w:rsid w:val="6CF52916"/>
    <w:rsid w:val="6CF62A1C"/>
    <w:rsid w:val="6D3C22F3"/>
    <w:rsid w:val="6D5852F1"/>
    <w:rsid w:val="6DBF494B"/>
    <w:rsid w:val="6DC02707"/>
    <w:rsid w:val="6E1374F8"/>
    <w:rsid w:val="6E22773B"/>
    <w:rsid w:val="6E3F7480"/>
    <w:rsid w:val="6EBF31DC"/>
    <w:rsid w:val="6EBF4F8A"/>
    <w:rsid w:val="6EC6456A"/>
    <w:rsid w:val="6ECB7DD2"/>
    <w:rsid w:val="6F9B1553"/>
    <w:rsid w:val="6FC34F4E"/>
    <w:rsid w:val="6FCA62DC"/>
    <w:rsid w:val="6FE0165C"/>
    <w:rsid w:val="6FEC0000"/>
    <w:rsid w:val="70041B6B"/>
    <w:rsid w:val="7038515F"/>
    <w:rsid w:val="70480FAF"/>
    <w:rsid w:val="70BC200C"/>
    <w:rsid w:val="70DA60AB"/>
    <w:rsid w:val="70F57389"/>
    <w:rsid w:val="71321F86"/>
    <w:rsid w:val="71325EE7"/>
    <w:rsid w:val="714F6A99"/>
    <w:rsid w:val="716D6F1F"/>
    <w:rsid w:val="71950224"/>
    <w:rsid w:val="71A60683"/>
    <w:rsid w:val="72023B0B"/>
    <w:rsid w:val="724C4072"/>
    <w:rsid w:val="726755B9"/>
    <w:rsid w:val="72975961"/>
    <w:rsid w:val="72B50B7E"/>
    <w:rsid w:val="72C15774"/>
    <w:rsid w:val="72DD37F5"/>
    <w:rsid w:val="72DF209E"/>
    <w:rsid w:val="72F571CC"/>
    <w:rsid w:val="7312116E"/>
    <w:rsid w:val="732D2E0A"/>
    <w:rsid w:val="73467E59"/>
    <w:rsid w:val="738B7B30"/>
    <w:rsid w:val="73D86B3A"/>
    <w:rsid w:val="7407365B"/>
    <w:rsid w:val="74365CEE"/>
    <w:rsid w:val="74566390"/>
    <w:rsid w:val="74793E2D"/>
    <w:rsid w:val="74CC21AE"/>
    <w:rsid w:val="751F6782"/>
    <w:rsid w:val="75483F2B"/>
    <w:rsid w:val="75866801"/>
    <w:rsid w:val="758C68C0"/>
    <w:rsid w:val="7605036F"/>
    <w:rsid w:val="7621477C"/>
    <w:rsid w:val="762B1157"/>
    <w:rsid w:val="766308F1"/>
    <w:rsid w:val="76830F93"/>
    <w:rsid w:val="7691545E"/>
    <w:rsid w:val="76BB697E"/>
    <w:rsid w:val="770E754E"/>
    <w:rsid w:val="771147F0"/>
    <w:rsid w:val="77275DC2"/>
    <w:rsid w:val="77366005"/>
    <w:rsid w:val="77471FC0"/>
    <w:rsid w:val="776B470D"/>
    <w:rsid w:val="776C7C79"/>
    <w:rsid w:val="777E2AB0"/>
    <w:rsid w:val="778C3E77"/>
    <w:rsid w:val="77980A6E"/>
    <w:rsid w:val="77C11D73"/>
    <w:rsid w:val="77D5581E"/>
    <w:rsid w:val="77F739E6"/>
    <w:rsid w:val="78300CA6"/>
    <w:rsid w:val="78954206"/>
    <w:rsid w:val="78A70F68"/>
    <w:rsid w:val="78C113F3"/>
    <w:rsid w:val="7949283E"/>
    <w:rsid w:val="796B468C"/>
    <w:rsid w:val="799C2A97"/>
    <w:rsid w:val="799F7E92"/>
    <w:rsid w:val="79A324E9"/>
    <w:rsid w:val="79CE4C1B"/>
    <w:rsid w:val="79D55FA9"/>
    <w:rsid w:val="79EE2BC7"/>
    <w:rsid w:val="7A2D7B93"/>
    <w:rsid w:val="7A860D31"/>
    <w:rsid w:val="7AAC0AB8"/>
    <w:rsid w:val="7ACB6CBA"/>
    <w:rsid w:val="7ADB314B"/>
    <w:rsid w:val="7AF86B3D"/>
    <w:rsid w:val="7B0526C3"/>
    <w:rsid w:val="7B0C1557"/>
    <w:rsid w:val="7B51165F"/>
    <w:rsid w:val="7BA63759"/>
    <w:rsid w:val="7BDE482E"/>
    <w:rsid w:val="7BF02C26"/>
    <w:rsid w:val="7BF5023D"/>
    <w:rsid w:val="7C0121E8"/>
    <w:rsid w:val="7C15268D"/>
    <w:rsid w:val="7C1A6CD4"/>
    <w:rsid w:val="7C4F2043"/>
    <w:rsid w:val="7C8617DD"/>
    <w:rsid w:val="7CC61BD9"/>
    <w:rsid w:val="7CEC5AE4"/>
    <w:rsid w:val="7CF16C56"/>
    <w:rsid w:val="7D0746CC"/>
    <w:rsid w:val="7D1E37CD"/>
    <w:rsid w:val="7D450D50"/>
    <w:rsid w:val="7DC425BD"/>
    <w:rsid w:val="7E114242"/>
    <w:rsid w:val="7E4A0FC2"/>
    <w:rsid w:val="7EA877E8"/>
    <w:rsid w:val="7ED700CE"/>
    <w:rsid w:val="7EE66563"/>
    <w:rsid w:val="7EEF6BA4"/>
    <w:rsid w:val="7F272E03"/>
    <w:rsid w:val="7F361298"/>
    <w:rsid w:val="7F3B68AE"/>
    <w:rsid w:val="7F837E6E"/>
    <w:rsid w:val="7F94049C"/>
    <w:rsid w:val="7FA21737"/>
    <w:rsid w:val="7FB9317A"/>
    <w:rsid w:val="7FC468A4"/>
    <w:rsid w:val="7FC95C68"/>
    <w:rsid w:val="7FD840FD"/>
    <w:rsid w:val="7FD91C2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jc w:val="left"/>
      <w:outlineLvl w:val="0"/>
    </w:pPr>
    <w:rPr>
      <w:rFonts w:hint="eastAsia" w:ascii="宋体" w:hAnsi="宋体" w:eastAsia="宋体"/>
      <w:kern w:val="44"/>
      <w:sz w:val="42"/>
      <w:szCs w:val="42"/>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szCs w:val="2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_Style 3"/>
    <w:basedOn w:val="2"/>
    <w:next w:val="1"/>
    <w:autoRedefine/>
    <w:qFormat/>
    <w:uiPriority w:val="99"/>
    <w:pPr>
      <w:widowControl/>
      <w:spacing w:before="480" w:line="276" w:lineRule="auto"/>
      <w:outlineLvl w:val="9"/>
    </w:pPr>
    <w:rPr>
      <w:rFonts w:ascii="Cambria" w:hAnsi="Cambria"/>
      <w:color w:val="365F91"/>
      <w:kern w:val="0"/>
      <w:sz w:val="28"/>
      <w:szCs w:val="28"/>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15225</Words>
  <Characters>15556</Characters>
  <Lines>0</Lines>
  <Paragraphs>0</Paragraphs>
  <TotalTime>10</TotalTime>
  <ScaleCrop>false</ScaleCrop>
  <LinksUpToDate>false</LinksUpToDate>
  <CharactersWithSpaces>15635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2024-03-05T02:03:00Z</dcterms:created>
  <dc:creator>Alice</dc:creator>
  <cp:lastModifiedBy>Alice</cp:lastModifiedBy>
  <cp:lastPrinted>2024-04-07T07:21:00Z</cp:lastPrinted>
  <dcterms:modified xsi:type="dcterms:W3CDTF">2024-09-10T06:47:48Z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CE94FF29DFD34C7685B594B1ACF05032_11</vt:lpwstr>
  </property>
</Properties>
</file>